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附</w:t>
      </w:r>
      <w:bookmarkStart w:id="0" w:name="_GoBack"/>
      <w:bookmarkEnd w:id="0"/>
      <w:r>
        <w:rPr>
          <w:rFonts w:hint="eastAsia" w:ascii="仿宋_GB2312" w:hAnsi="Times New Roman" w:eastAsia="仿宋_GB2312"/>
          <w:sz w:val="30"/>
          <w:szCs w:val="30"/>
        </w:rPr>
        <w:t>件：</w:t>
      </w:r>
    </w:p>
    <w:p>
      <w:pPr>
        <w:spacing w:line="560" w:lineRule="exact"/>
        <w:rPr>
          <w:rFonts w:ascii="Times New Roman" w:hAnsi="宋体" w:eastAsia="宋体"/>
          <w:b/>
          <w:bCs/>
          <w:sz w:val="36"/>
          <w:szCs w:val="36"/>
        </w:rPr>
      </w:pPr>
    </w:p>
    <w:p>
      <w:pPr>
        <w:spacing w:line="560" w:lineRule="exact"/>
        <w:jc w:val="center"/>
        <w:rPr>
          <w:rFonts w:ascii="Times New Roman" w:hAnsi="Times New Roman" w:eastAsia="宋体"/>
          <w:b/>
          <w:bCs/>
          <w:sz w:val="36"/>
          <w:szCs w:val="36"/>
        </w:rPr>
      </w:pPr>
      <w:r>
        <w:rPr>
          <w:rFonts w:hint="eastAsia" w:ascii="Times New Roman" w:hAnsi="宋体" w:eastAsia="宋体"/>
          <w:b/>
          <w:bCs/>
          <w:sz w:val="36"/>
          <w:szCs w:val="36"/>
        </w:rPr>
        <w:t>绿色债券评估认证业务检查工作规程（试行）</w:t>
      </w:r>
    </w:p>
    <w:p>
      <w:pPr>
        <w:widowControl/>
        <w:spacing w:line="560" w:lineRule="exact"/>
        <w:jc w:val="center"/>
        <w:rPr>
          <w:rStyle w:val="17"/>
          <w:rFonts w:hAnsi="仿宋" w:cs="仿宋"/>
          <w:sz w:val="28"/>
          <w:szCs w:val="28"/>
        </w:rPr>
      </w:pPr>
    </w:p>
    <w:p>
      <w:pPr>
        <w:spacing w:line="560" w:lineRule="exact"/>
        <w:jc w:val="center"/>
        <w:rPr>
          <w:rFonts w:hAnsi="仿宋" w:cs="仿宋"/>
          <w:b/>
          <w:bCs/>
          <w:sz w:val="30"/>
          <w:szCs w:val="30"/>
        </w:rPr>
      </w:pPr>
      <w:r>
        <w:rPr>
          <w:rStyle w:val="17"/>
          <w:rFonts w:hint="eastAsia" w:hAnsi="仿宋" w:cs="仿宋"/>
          <w:sz w:val="30"/>
          <w:szCs w:val="30"/>
        </w:rPr>
        <w:t>第一章  总则</w:t>
      </w:r>
    </w:p>
    <w:p>
      <w:pPr>
        <w:pStyle w:val="12"/>
        <w:widowControl/>
        <w:numPr>
          <w:ilvl w:val="255"/>
          <w:numId w:val="0"/>
        </w:numPr>
        <w:spacing w:before="120" w:beforeAutospacing="0" w:after="120" w:afterAutospacing="0" w:line="560" w:lineRule="exact"/>
        <w:ind w:firstLine="602" w:firstLineChars="200"/>
        <w:jc w:val="both"/>
        <w:rPr>
          <w:rFonts w:ascii="仿宋_GB2312" w:hAnsi="仿宋" w:eastAsia="仿宋_GB2312" w:cs="仿宋"/>
          <w:sz w:val="30"/>
          <w:szCs w:val="30"/>
        </w:rPr>
      </w:pPr>
      <w:r>
        <w:rPr>
          <w:rFonts w:hint="eastAsia" w:ascii="仿宋_GB2312" w:hAnsi="仿宋" w:eastAsia="仿宋_GB2312" w:cs="仿宋"/>
          <w:b/>
          <w:bCs/>
          <w:sz w:val="30"/>
          <w:szCs w:val="30"/>
        </w:rPr>
        <w:t>第一条</w:t>
      </w:r>
      <w:r>
        <w:rPr>
          <w:rFonts w:hint="eastAsia" w:ascii="仿宋_GB2312" w:hAnsi="仿宋" w:eastAsia="仿宋_GB2312" w:cs="仿宋"/>
          <w:sz w:val="30"/>
          <w:szCs w:val="30"/>
        </w:rPr>
        <w:t xml:space="preserve"> 为进一步促进绿色债券市场健康发展，加强评估认证机构自律管理，规范评估认证业务检查工作，根据《中国人民银行 中国证券监督管理委员会公告》（〔2017〕第20号）以及《绿色债券评估认证机构市场化评议操作细则（试行）》（绿标委公告〔2021〕第1号）等有关规定，绿色债券标准委员会（以下简称“绿标委”）制定本规程。</w:t>
      </w:r>
    </w:p>
    <w:p>
      <w:pPr>
        <w:pStyle w:val="12"/>
        <w:widowControl/>
        <w:spacing w:before="120" w:beforeAutospacing="0" w:after="120" w:afterAutospacing="0" w:line="560" w:lineRule="exact"/>
        <w:ind w:firstLine="602" w:firstLineChars="200"/>
        <w:jc w:val="both"/>
        <w:rPr>
          <w:rFonts w:ascii="仿宋_GB2312" w:hAnsi="仿宋" w:eastAsia="仿宋_GB2312" w:cs="仿宋"/>
          <w:sz w:val="30"/>
          <w:szCs w:val="30"/>
        </w:rPr>
      </w:pPr>
      <w:r>
        <w:rPr>
          <w:rFonts w:hint="eastAsia" w:ascii="仿宋_GB2312" w:hAnsi="仿宋" w:eastAsia="仿宋_GB2312" w:cs="仿宋"/>
          <w:b/>
          <w:bCs/>
          <w:sz w:val="30"/>
          <w:szCs w:val="30"/>
        </w:rPr>
        <w:t xml:space="preserve">第二条 </w:t>
      </w:r>
      <w:r>
        <w:rPr>
          <w:rFonts w:hint="eastAsia" w:ascii="仿宋_GB2312" w:hAnsi="仿宋" w:eastAsia="仿宋_GB2312" w:cs="仿宋"/>
          <w:sz w:val="30"/>
          <w:szCs w:val="30"/>
        </w:rPr>
        <w:t>本规程所称业务检查，是指绿标委根据自律管理需要，采取现场和非现场形式开展执业质量检查，对检查对象遵守中国人民银行、中国证券监督管理委员会等相关规定进行监督、检查的行为。</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本规程所称检查对象，是指通过绿标委市场化评议注册的绿色债券评估认证机构。</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业务检查的类型包括但不限于：</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（一）对绿色债券评估认证工作的合规管理及内控有效性等开展的综合性检查；</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（二）对绿色债券评估认证项目开展的专项检查；</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（三）对已发现问题的整改情况开展的后续检查。</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业务检查的范围包括但不限于：</w:t>
      </w:r>
    </w:p>
    <w:p>
      <w:pPr>
        <w:pStyle w:val="12"/>
        <w:widowControl/>
        <w:numPr>
          <w:ilvl w:val="0"/>
          <w:numId w:val="2"/>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评估认证机构市场化评议材料所涉及事项及业务检查项目档案资料；</w:t>
      </w:r>
    </w:p>
    <w:p>
      <w:pPr>
        <w:pStyle w:val="12"/>
        <w:widowControl/>
        <w:numPr>
          <w:ilvl w:val="0"/>
          <w:numId w:val="2"/>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上年度绿色债券评估认证业务开展情况；</w:t>
      </w:r>
    </w:p>
    <w:p>
      <w:pPr>
        <w:pStyle w:val="12"/>
        <w:widowControl/>
        <w:numPr>
          <w:ilvl w:val="0"/>
          <w:numId w:val="2"/>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对已发现问题的整改落实情况。</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绿标委应根据绿色债券市场运行和日常管理等信息，通过随机抽取的办法确定检查对象，每年抽取检查对象的数量不低于注册评估认证机构的10%。</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绿标委根据检查类型和范围成立检查组，检查组由5家机构共同组成，其中，绿标委成员单位3家，分别为1家常任成员单位、2家非常任成员单位，评估认证机构2家。检查组确定组长1名，由绿标委常任成员单位担任，副组长2名，由非常任成员单位担任。必要时，可邀请其他机构相关专业人员参与检查。</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参与检查组的评估认证机构，需通过随机抽取的办法确定，同一评估认证机构不得连续两次担任检查组成员。参与机构及相关人员，应具备以下条件：</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（一）机构近3年或自成立以来不存在违法违规行为和不良诚信记录；</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（二）机构应具备较强的评估认证专业能力，持续开展绿色债券评估认证业务，近三年累计开展绿色债券评估认证业务不少于10只，近一年不少于5只；</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（三）评估认证人员应具备丰富的评估认证专业经验，从事评估认证业务3年以上，并对相关产业政策较为熟悉，具备一定的合规管理或质量把控经验。</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（四）评估认证人员近3年不存在违法违规行为。</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参与检查的评估认证机构，应向绿标委提名加入检查组的人员名单，并出具相应推荐函，就本机构及人员符合参与检查组相关条件等情况作出说明。</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检查组负责业务检查的组织实施、会商沟通、出具检查报告等职责。组长负责业务检查的统筹组织、分工协调以及全面检查，副组长分别牵头负责不同的检查项目，检查组成员主要就评估认证业务专业性和规范性实施检查。</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存在影响或者可能影响依规公正履行职责情况的，检查人员应当回避。检查对象认为检查人员与其存在利害关系的，可以提出回避申请并说明理由，经核查确有必要的，相关检查人员应当回避。</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检查过程中涉及收费等敏感信息确需保密的，检查对象可提出充分理由并说明，经检查组评估确有必要的，相关信息可由检查组组长和副组长查阅，检查组其他成员回避。</w:t>
      </w:r>
    </w:p>
    <w:p>
      <w:pPr>
        <w:pStyle w:val="12"/>
        <w:widowControl/>
        <w:numPr>
          <w:ilvl w:val="0"/>
          <w:numId w:val="1"/>
        </w:numPr>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绿标委开展业务检查应当遵循依规、公正和必要的原则，按照本规程确定的职责、权限和程序进行。</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检查对象及其工作人员应当配合，真实、准确、完整、及时地提供业务检查所需要的材料及相关信息。</w:t>
      </w:r>
    </w:p>
    <w:p>
      <w:pPr>
        <w:pStyle w:val="29"/>
        <w:spacing w:line="560" w:lineRule="exact"/>
        <w:jc w:val="center"/>
        <w:rPr>
          <w:rStyle w:val="17"/>
          <w:rFonts w:ascii="仿宋_GB2312" w:hAnsi="仿宋" w:eastAsia="仿宋_GB2312" w:cs="仿宋"/>
          <w:sz w:val="30"/>
          <w:szCs w:val="30"/>
        </w:rPr>
      </w:pPr>
    </w:p>
    <w:p>
      <w:pPr>
        <w:pStyle w:val="29"/>
        <w:spacing w:line="560" w:lineRule="exact"/>
        <w:jc w:val="center"/>
        <w:rPr>
          <w:sz w:val="30"/>
          <w:szCs w:val="30"/>
        </w:rPr>
      </w:pPr>
      <w:r>
        <w:rPr>
          <w:rStyle w:val="17"/>
          <w:rFonts w:hint="eastAsia" w:ascii="仿宋_GB2312" w:hAnsi="仿宋" w:eastAsia="仿宋_GB2312" w:cs="仿宋"/>
          <w:sz w:val="30"/>
          <w:szCs w:val="30"/>
        </w:rPr>
        <w:t>第二章  检查实施</w:t>
      </w:r>
    </w:p>
    <w:p>
      <w:pPr>
        <w:pStyle w:val="12"/>
        <w:widowControl/>
        <w:numPr>
          <w:ilvl w:val="0"/>
          <w:numId w:val="1"/>
        </w:numPr>
        <w:spacing w:before="120" w:after="120" w:line="560" w:lineRule="exact"/>
        <w:ind w:firstLine="600" w:firstLineChars="200"/>
        <w:jc w:val="both"/>
        <w:rPr>
          <w:rStyle w:val="17"/>
          <w:rFonts w:ascii="仿宋_GB2312" w:hAnsi="仿宋" w:eastAsia="仿宋_GB2312" w:cs="仿宋"/>
          <w:b w:val="0"/>
          <w:bCs/>
          <w:sz w:val="30"/>
          <w:szCs w:val="30"/>
        </w:rPr>
      </w:pPr>
      <w:r>
        <w:rPr>
          <w:rFonts w:hint="eastAsia" w:ascii="仿宋_GB2312" w:eastAsia="仿宋_GB2312"/>
          <w:sz w:val="30"/>
          <w:szCs w:val="30"/>
        </w:rPr>
        <w:t>业务检查实施包括非现场</w:t>
      </w:r>
      <w:r>
        <w:rPr>
          <w:rFonts w:hint="eastAsia" w:ascii="仿宋_GB2312" w:hAnsi="仿宋" w:eastAsia="仿宋_GB2312" w:cs="仿宋"/>
          <w:sz w:val="30"/>
          <w:szCs w:val="30"/>
        </w:rPr>
        <w:t>检查</w:t>
      </w:r>
      <w:r>
        <w:rPr>
          <w:rFonts w:hint="eastAsia" w:ascii="仿宋_GB2312" w:eastAsia="仿宋_GB2312"/>
          <w:sz w:val="30"/>
          <w:szCs w:val="30"/>
        </w:rPr>
        <w:t>和现场检查两种方式，其中非现场检查主要针对评估认证机构市场化评议材料及自查报告，现场检查主要针对评估认证机构绿色债券评估认证业务开展情况。</w:t>
      </w:r>
    </w:p>
    <w:p>
      <w:pPr>
        <w:widowControl/>
        <w:spacing w:line="560" w:lineRule="exact"/>
        <w:jc w:val="center"/>
        <w:rPr>
          <w:rStyle w:val="17"/>
          <w:rFonts w:hAnsi="仿宋" w:cs="仿宋"/>
          <w:sz w:val="30"/>
          <w:szCs w:val="30"/>
        </w:rPr>
      </w:pPr>
      <w:r>
        <w:rPr>
          <w:rStyle w:val="17"/>
          <w:rFonts w:hint="eastAsia" w:hAnsi="仿宋" w:cs="仿宋"/>
          <w:sz w:val="30"/>
          <w:szCs w:val="30"/>
        </w:rPr>
        <w:t>第一节  非现场检查</w:t>
      </w:r>
    </w:p>
    <w:p>
      <w:pPr>
        <w:pStyle w:val="12"/>
        <w:numPr>
          <w:ilvl w:val="0"/>
          <w:numId w:val="1"/>
        </w:numPr>
        <w:spacing w:before="120" w:after="12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检查组应集中对检查对象上年度绿色债券评估认证业务自查报告等相关材料（以下简称“自查材料”）进行检查，根据自查材料了解相关情况。如需查阅其他材料的，检查组可通过书面、约见谈话、视频谈话等形式开展非现场检查。</w:t>
      </w:r>
    </w:p>
    <w:p>
      <w:pPr>
        <w:pStyle w:val="12"/>
        <w:numPr>
          <w:ilvl w:val="0"/>
          <w:numId w:val="1"/>
        </w:numPr>
        <w:spacing w:before="120" w:after="12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通过书面形式开展非现场检查的，应当在文书中明确检查对象需要说明的事项，以及需要提供的相关信息、电子数据、文件和资料等，检查对象应于</w:t>
      </w:r>
      <w:r>
        <w:rPr>
          <w:rFonts w:ascii="仿宋_GB2312" w:hAnsi="仿宋" w:eastAsia="仿宋_GB2312" w:cs="仿宋"/>
          <w:sz w:val="30"/>
          <w:szCs w:val="30"/>
        </w:rPr>
        <w:t>8</w:t>
      </w:r>
      <w:r>
        <w:rPr>
          <w:rFonts w:hint="eastAsia" w:ascii="仿宋_GB2312" w:hAnsi="仿宋" w:eastAsia="仿宋_GB2312" w:cs="仿宋"/>
          <w:sz w:val="30"/>
          <w:szCs w:val="30"/>
        </w:rPr>
        <w:t>个工作日内作出书面答复，并如实、完整提供相关材料。</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通过约见谈话、视频会议等方式开展非现场检查的,需要作好会议记录，并由检查对象签章确认。</w:t>
      </w:r>
    </w:p>
    <w:p>
      <w:pPr>
        <w:pStyle w:val="12"/>
        <w:widowControl/>
        <w:numPr>
          <w:ilvl w:val="0"/>
          <w:numId w:val="1"/>
        </w:numPr>
        <w:spacing w:before="120" w:beforeAutospacing="0" w:after="120" w:afterAutospacing="0" w:line="560" w:lineRule="exact"/>
        <w:ind w:firstLine="560"/>
        <w:jc w:val="both"/>
        <w:rPr>
          <w:rStyle w:val="17"/>
          <w:rFonts w:hAnsi="仿宋" w:cs="仿宋"/>
          <w:sz w:val="30"/>
          <w:szCs w:val="30"/>
        </w:rPr>
      </w:pPr>
      <w:r>
        <w:rPr>
          <w:rFonts w:hint="eastAsia" w:ascii="仿宋_GB2312" w:hAnsi="仿宋" w:eastAsia="仿宋_GB2312" w:cs="仿宋"/>
          <w:sz w:val="30"/>
          <w:szCs w:val="30"/>
        </w:rPr>
        <w:t>非现场检查重点关注相关制度文件的完备性，项目资料的完整性、准确性，业务实施流程的合规情况，报告质量等。</w:t>
      </w:r>
    </w:p>
    <w:p>
      <w:pPr>
        <w:widowControl/>
        <w:spacing w:line="560" w:lineRule="exact"/>
        <w:jc w:val="center"/>
        <w:rPr>
          <w:rFonts w:hAnsi="仿宋" w:cs="仿宋"/>
          <w:sz w:val="30"/>
          <w:szCs w:val="30"/>
        </w:rPr>
      </w:pPr>
      <w:r>
        <w:rPr>
          <w:rStyle w:val="17"/>
          <w:rFonts w:hint="eastAsia" w:hAnsi="仿宋" w:cs="仿宋"/>
          <w:sz w:val="30"/>
          <w:szCs w:val="30"/>
        </w:rPr>
        <w:t>第二节  现场检查</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在开展针对检查对象的现场检查前，除核实特定违法违规线索等特殊情况外，检查组原则上应当至少提前</w:t>
      </w:r>
      <w:r>
        <w:rPr>
          <w:rFonts w:ascii="仿宋_GB2312" w:hAnsi="仿宋" w:eastAsia="仿宋_GB2312" w:cs="仿宋"/>
          <w:sz w:val="30"/>
          <w:szCs w:val="30"/>
        </w:rPr>
        <w:t>8</w:t>
      </w:r>
      <w:r>
        <w:rPr>
          <w:rFonts w:hint="eastAsia" w:ascii="仿宋_GB2312" w:hAnsi="仿宋" w:eastAsia="仿宋_GB2312" w:cs="仿宋"/>
          <w:sz w:val="30"/>
          <w:szCs w:val="30"/>
        </w:rPr>
        <w:t>个工作日通知检查对象现场检查的相关安排，包括检查内容、时间和纪律要求等。如需到发行人现场检查的，也应当至少提前</w:t>
      </w:r>
      <w:r>
        <w:rPr>
          <w:rFonts w:ascii="仿宋_GB2312" w:hAnsi="仿宋" w:eastAsia="仿宋_GB2312" w:cs="仿宋"/>
          <w:sz w:val="30"/>
          <w:szCs w:val="30"/>
        </w:rPr>
        <w:t>8</w:t>
      </w:r>
      <w:r>
        <w:rPr>
          <w:rFonts w:hint="eastAsia" w:ascii="仿宋_GB2312" w:hAnsi="仿宋" w:eastAsia="仿宋_GB2312" w:cs="仿宋"/>
          <w:sz w:val="30"/>
          <w:szCs w:val="30"/>
        </w:rPr>
        <w:t>个工作日通知发行人现场检查的相关安排。</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开始现场检查时，检查组向检查对象出示业务检查通知书，并宣布现场检查工作纪律和有关规定。</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检查对象享有对检查人员履行职责和执行工作纪律、廉政纪律情况进行监督的权利。</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现场检查可以采取以下方法：</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（一）查阅与检查事项有关的文件资料和信息系统；</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（二）查看经营管理场所；</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（三）询问、访谈有关人员，要求其对有关检查事项作出说明；</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（四）实地查看绿色项目的运行场所（如需）；</w:t>
      </w:r>
    </w:p>
    <w:p>
      <w:pPr>
        <w:pStyle w:val="12"/>
        <w:widowControl/>
        <w:numPr>
          <w:ilvl w:val="0"/>
          <w:numId w:val="3"/>
        </w:numPr>
        <w:spacing w:before="120" w:beforeAutospacing="0" w:after="120" w:afterAutospacing="0" w:line="560" w:lineRule="exact"/>
        <w:jc w:val="both"/>
        <w:rPr>
          <w:rFonts w:ascii="仿宋_GB2312" w:hAnsi="仿宋" w:eastAsia="仿宋_GB2312" w:cs="仿宋"/>
          <w:sz w:val="30"/>
          <w:szCs w:val="30"/>
        </w:rPr>
      </w:pPr>
      <w:r>
        <w:rPr>
          <w:rFonts w:hint="eastAsia" w:ascii="仿宋_GB2312" w:hAnsi="仿宋" w:eastAsia="仿宋_GB2312" w:cs="仿宋"/>
          <w:sz w:val="30"/>
          <w:szCs w:val="30"/>
        </w:rPr>
        <w:t>其他必要的检查方法。</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现场查阅的资料文件包括但不限于：</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（一）对于评估认证机构自查报告内容存在疑问或需进一步了解的，可查阅机构的基本信息、组织架构、制度管理体系、执业资质、人员配备等相关建设情况；</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（二）抽查项目资料，如业务承接合同、尽职调查底稿、评估认证报告及其他必要的资料文件。</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现场抽查的绿色债券数量应不低于经检查对象认证上年度成功发行的绿色债券数量的</w:t>
      </w:r>
      <w:r>
        <w:rPr>
          <w:rFonts w:ascii="仿宋_GB2312" w:hAnsi="仿宋" w:eastAsia="仿宋_GB2312" w:cs="仿宋"/>
          <w:sz w:val="30"/>
          <w:szCs w:val="30"/>
        </w:rPr>
        <w:t>5</w:t>
      </w:r>
      <w:r>
        <w:rPr>
          <w:rFonts w:hint="eastAsia" w:ascii="仿宋_GB2312" w:hAnsi="仿宋" w:eastAsia="仿宋_GB2312" w:cs="仿宋"/>
          <w:sz w:val="30"/>
          <w:szCs w:val="30"/>
        </w:rPr>
        <w:t>%，且不低于5只，对于上年度评估认证绿色债券低于5只的，应全部检查。抽查的绿色债券应具有代表性，应包括绿色金融债券、绿色公司债券、绿色债务融资工具及绿色资产证券化产品。</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现场检查应重点关注评估认证机构业务的真实性与合规性、机构制度体系建设情况、评估认证业务运行情况等。</w:t>
      </w:r>
    </w:p>
    <w:p>
      <w:pPr>
        <w:pStyle w:val="12"/>
        <w:widowControl/>
        <w:numPr>
          <w:ilvl w:val="0"/>
          <w:numId w:val="1"/>
        </w:numPr>
        <w:spacing w:before="120" w:beforeAutospacing="0" w:after="120" w:afterAutospacing="0" w:line="560" w:lineRule="exact"/>
        <w:ind w:firstLine="560"/>
        <w:jc w:val="both"/>
        <w:rPr>
          <w:rStyle w:val="17"/>
          <w:rFonts w:ascii="仿宋_GB2312" w:hAnsi="仿宋" w:eastAsia="仿宋_GB2312" w:cs="仿宋"/>
          <w:b w:val="0"/>
          <w:sz w:val="30"/>
          <w:szCs w:val="30"/>
        </w:rPr>
      </w:pPr>
      <w:r>
        <w:rPr>
          <w:rFonts w:hint="eastAsia" w:ascii="仿宋_GB2312" w:hAnsi="仿宋" w:eastAsia="仿宋_GB2312" w:cs="仿宋"/>
          <w:sz w:val="30"/>
          <w:szCs w:val="30"/>
        </w:rPr>
        <w:t>现场检查过程中，检查组认为有关事实需要检查对象予以确认的，可以在检查记录中明确，并由检查对象签章确认。</w:t>
      </w:r>
    </w:p>
    <w:p>
      <w:pPr>
        <w:widowControl/>
        <w:spacing w:line="560" w:lineRule="exact"/>
        <w:jc w:val="center"/>
        <w:rPr>
          <w:rFonts w:hAnsi="仿宋" w:cs="仿宋"/>
          <w:sz w:val="30"/>
          <w:szCs w:val="30"/>
        </w:rPr>
      </w:pPr>
      <w:r>
        <w:rPr>
          <w:rStyle w:val="17"/>
          <w:rFonts w:hint="eastAsia" w:hAnsi="仿宋" w:cs="仿宋"/>
          <w:sz w:val="30"/>
          <w:szCs w:val="30"/>
        </w:rPr>
        <w:t>第三章  检查结果</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业务检查结束后，检查组以退场会谈、书面告知等适当形式进行反馈。检查对象存在异议的，可以自收到反馈之日起</w:t>
      </w:r>
      <w:r>
        <w:rPr>
          <w:rFonts w:ascii="仿宋_GB2312" w:hAnsi="仿宋" w:eastAsia="仿宋_GB2312" w:cs="仿宋"/>
          <w:sz w:val="30"/>
          <w:szCs w:val="30"/>
        </w:rPr>
        <w:t>8</w:t>
      </w:r>
      <w:r>
        <w:rPr>
          <w:rFonts w:hint="eastAsia" w:ascii="仿宋_GB2312" w:hAnsi="仿宋" w:eastAsia="仿宋_GB2312" w:cs="仿宋"/>
          <w:sz w:val="30"/>
          <w:szCs w:val="30"/>
        </w:rPr>
        <w:t>个工作日内向检查组书面提出。</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由检查组出具检查意见汇总表，并形成相应的检查报告，检查报告需检查组成员签字或盖章。</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检查报告内容包括但不限于评估认证机构的规章制度、业务资质、业务开展等情况，并对相关检查内容出具检查结论。</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检查组应于检查报告形成后，提交绿标委委员会会议审议。审议通过后，检查组应于8个工作日内发送至绿标委办公室，由绿标委办公室向检查对象发送检查报告。</w:t>
      </w:r>
    </w:p>
    <w:p>
      <w:pPr>
        <w:widowControl/>
        <w:spacing w:line="560" w:lineRule="exact"/>
        <w:jc w:val="center"/>
        <w:rPr>
          <w:rFonts w:hAnsi="仿宋" w:cs="仿宋"/>
          <w:sz w:val="30"/>
          <w:szCs w:val="30"/>
        </w:rPr>
      </w:pPr>
      <w:r>
        <w:rPr>
          <w:rStyle w:val="17"/>
          <w:rFonts w:hint="eastAsia" w:hAnsi="仿宋" w:cs="仿宋"/>
          <w:sz w:val="30"/>
          <w:szCs w:val="30"/>
        </w:rPr>
        <w:t>第四章  检查处理</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通过业务检查发现检查对象存在违规行为的，按照中国人民银行、中国证券监督管理委员会的相关规定及相关市场自律管理组织的自律规则，视情节严重程度给予相应处理。</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绿标委对业务检查情况和整改情况进行统计分析，并持续跟进整改情况。业务检查结果将作为市场化评议的重要参考。</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业务检查结束后，检查组应将包括纸质及电子资料在内的相关资料和工作底稿提交绿标委办公室，绿标委办公室应当妥善保存，并至少保存至业务检查结束后5年。</w:t>
      </w:r>
    </w:p>
    <w:p>
      <w:pPr>
        <w:widowControl/>
        <w:spacing w:line="560" w:lineRule="exact"/>
        <w:jc w:val="center"/>
        <w:rPr>
          <w:rFonts w:hAnsi="仿宋" w:cs="仿宋"/>
          <w:sz w:val="30"/>
          <w:szCs w:val="30"/>
        </w:rPr>
      </w:pPr>
      <w:r>
        <w:rPr>
          <w:rStyle w:val="17"/>
          <w:rFonts w:hint="eastAsia" w:hAnsi="仿宋" w:cs="仿宋"/>
          <w:sz w:val="30"/>
          <w:szCs w:val="30"/>
        </w:rPr>
        <w:t>第五章  检查纪律</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检查人员应当遵守法律法规和绿标委有关规章制度，坚持依法依规、廉洁自律、公平公正、勤勉尽职。检查人员应当相互合作、相互监督，确保检查工作有序、高效开展。</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检查人员及相关人员应在检查前签署保密及无关联关系承诺书，对业务检查中获取的涉及国家秘密、工作秘密、商业秘密和个人隐私的信息应当保密，不得违反规定对外提供。</w:t>
      </w:r>
    </w:p>
    <w:p>
      <w:pPr>
        <w:widowControl/>
        <w:spacing w:line="560" w:lineRule="exact"/>
        <w:jc w:val="center"/>
        <w:rPr>
          <w:rFonts w:hAnsi="仿宋" w:cs="仿宋"/>
          <w:sz w:val="30"/>
          <w:szCs w:val="30"/>
        </w:rPr>
      </w:pPr>
      <w:r>
        <w:rPr>
          <w:rStyle w:val="17"/>
          <w:rFonts w:hint="eastAsia" w:hAnsi="仿宋" w:cs="仿宋"/>
          <w:sz w:val="30"/>
          <w:szCs w:val="30"/>
        </w:rPr>
        <w:t>第六章  附则</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本规程由绿标委负责解释。</w:t>
      </w:r>
    </w:p>
    <w:p>
      <w:pPr>
        <w:pStyle w:val="12"/>
        <w:widowControl/>
        <w:numPr>
          <w:ilvl w:val="0"/>
          <w:numId w:val="1"/>
        </w:numPr>
        <w:spacing w:before="120" w:beforeAutospacing="0" w:after="120" w:afterAutospacing="0" w:line="560" w:lineRule="exact"/>
        <w:ind w:firstLine="560"/>
        <w:jc w:val="both"/>
        <w:rPr>
          <w:rFonts w:ascii="仿宋_GB2312" w:hAnsi="仿宋" w:eastAsia="仿宋_GB2312" w:cs="仿宋"/>
          <w:sz w:val="30"/>
          <w:szCs w:val="30"/>
        </w:rPr>
      </w:pPr>
      <w:r>
        <w:rPr>
          <w:rFonts w:hint="eastAsia" w:ascii="仿宋_GB2312" w:hAnsi="仿宋" w:eastAsia="仿宋_GB2312" w:cs="仿宋"/>
          <w:sz w:val="30"/>
          <w:szCs w:val="30"/>
        </w:rPr>
        <w:t>本规程自发布之日起实施。</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r>
        <w:rPr>
          <w:rFonts w:hint="eastAsia" w:ascii="仿宋_GB2312" w:hAnsi="仿宋" w:eastAsia="仿宋_GB2312" w:cs="仿宋"/>
          <w:sz w:val="30"/>
          <w:szCs w:val="30"/>
        </w:rPr>
        <w:t>附：业务检查内容清单及检查方式表</w:t>
      </w:r>
    </w:p>
    <w:p>
      <w:pPr>
        <w:pStyle w:val="12"/>
        <w:widowControl/>
        <w:spacing w:before="120" w:beforeAutospacing="0" w:after="120" w:afterAutospacing="0" w:line="560" w:lineRule="exact"/>
        <w:ind w:firstLine="600" w:firstLineChars="200"/>
        <w:jc w:val="both"/>
        <w:rPr>
          <w:rFonts w:ascii="仿宋_GB2312" w:hAnsi="仿宋" w:eastAsia="仿宋_GB2312" w:cs="仿宋"/>
          <w:sz w:val="30"/>
          <w:szCs w:val="30"/>
        </w:rPr>
      </w:pPr>
    </w:p>
    <w:p>
      <w:pPr>
        <w:spacing w:line="560" w:lineRule="exact"/>
        <w:rPr>
          <w:rFonts w:ascii="Times New Roman" w:hAnsi="Times New Roman" w:cs="Times New Roman"/>
          <w:color w:val="000000"/>
        </w:rPr>
        <w:sectPr>
          <w:footerReference r:id="rId4" w:type="default"/>
          <w:pgSz w:w="11906" w:h="16838"/>
          <w:pgMar w:top="1440" w:right="1800" w:bottom="1440" w:left="1800" w:header="851" w:footer="992" w:gutter="0"/>
          <w:cols w:space="425" w:num="1"/>
          <w:docGrid w:type="lines" w:linePitch="312" w:charSpace="0"/>
        </w:sectPr>
      </w:pPr>
    </w:p>
    <w:p>
      <w:pPr>
        <w:spacing w:line="560" w:lineRule="exact"/>
        <w:jc w:val="left"/>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附：</w:t>
      </w:r>
    </w:p>
    <w:p>
      <w:pPr>
        <w:widowControl/>
        <w:spacing w:after="156" w:afterLines="50" w:line="560" w:lineRule="exact"/>
        <w:jc w:val="center"/>
        <w:rPr>
          <w:rFonts w:hAnsi="宋体"/>
          <w:b/>
          <w:bCs/>
          <w:color w:val="000000"/>
          <w:kern w:val="0"/>
          <w:sz w:val="36"/>
          <w:szCs w:val="36"/>
        </w:rPr>
      </w:pPr>
      <w:r>
        <w:rPr>
          <w:rFonts w:hint="eastAsia" w:hAnsi="宋体"/>
          <w:b/>
          <w:bCs/>
          <w:color w:val="000000"/>
          <w:kern w:val="0"/>
          <w:sz w:val="36"/>
          <w:szCs w:val="36"/>
        </w:rPr>
        <w:t>业务检查内容清单及检查方式表</w:t>
      </w:r>
    </w:p>
    <w:tbl>
      <w:tblPr>
        <w:tblStyle w:val="14"/>
        <w:tblW w:w="5139" w:type="pct"/>
        <w:jc w:val="center"/>
        <w:tblLayout w:type="autofit"/>
        <w:tblCellMar>
          <w:top w:w="0" w:type="dxa"/>
          <w:left w:w="108" w:type="dxa"/>
          <w:bottom w:w="0" w:type="dxa"/>
          <w:right w:w="108" w:type="dxa"/>
        </w:tblCellMar>
      </w:tblPr>
      <w:tblGrid>
        <w:gridCol w:w="821"/>
        <w:gridCol w:w="1413"/>
        <w:gridCol w:w="1665"/>
        <w:gridCol w:w="1218"/>
        <w:gridCol w:w="1241"/>
        <w:gridCol w:w="2401"/>
      </w:tblGrid>
      <w:tr>
        <w:tblPrEx>
          <w:tblCellMar>
            <w:top w:w="0" w:type="dxa"/>
            <w:left w:w="108" w:type="dxa"/>
            <w:bottom w:w="0" w:type="dxa"/>
            <w:right w:w="108" w:type="dxa"/>
          </w:tblCellMar>
        </w:tblPrEx>
        <w:trPr>
          <w:trHeight w:val="55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序号</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检查内容</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检查材料</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检查方式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检查地点</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检查依据</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机构资质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来源于备案材料及自查报告更新材料</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基本信息</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营业执照</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组织架构</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组织架构图</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Style w:val="21"/>
                <w:rFonts w:hint="eastAsia" w:ascii="仿宋_GB2312" w:hAnsi="宋体" w:eastAsia="仿宋_GB2312"/>
                <w:b/>
                <w:bCs/>
                <w:color w:val="000000"/>
                <w:kern w:val="0"/>
                <w:sz w:val="24"/>
                <w:szCs w:val="24"/>
              </w:rPr>
              <w:footnoteReference w:id="0"/>
            </w:r>
            <w:r>
              <w:rPr>
                <w:rFonts w:hint="eastAsia" w:ascii="仿宋_GB2312" w:hAnsi="宋体" w:eastAsia="仿宋_GB2312"/>
                <w:b/>
                <w:bCs/>
                <w:color w:val="000000"/>
                <w:kern w:val="0"/>
                <w:sz w:val="24"/>
                <w:szCs w:val="24"/>
              </w:rPr>
              <w:t xml:space="preserve"> </w:t>
            </w:r>
            <w:r>
              <w:rPr>
                <w:rFonts w:hint="eastAsia" w:ascii="仿宋_GB2312" w:hAnsi="宋体" w:eastAsia="仿宋_GB2312"/>
                <w:color w:val="000000"/>
                <w:kern w:val="0"/>
                <w:sz w:val="24"/>
                <w:szCs w:val="24"/>
              </w:rPr>
              <w:t>第六条（一）</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1.3</w:t>
            </w:r>
          </w:p>
        </w:tc>
        <w:tc>
          <w:tcPr>
            <w:tcW w:w="45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管理制度体系</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1.3.1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技术方法</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技术方法、标准等文件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第六条（一）</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1.3.2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工作流程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工作流程制度文件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1.3.3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质量控制</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质量管理制度文件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1.3.4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职业责任保险</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保险单据</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1.3.5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收费标准</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收费标准文件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54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1.3.6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其他管理相关机制（若有）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合规管理相关文件；培训制度文件；人力资源、行政、财务管理制度文件等。</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机构执业资质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机构专业领域的执业资质文件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第六条（二）</w:t>
            </w:r>
          </w:p>
        </w:tc>
      </w:tr>
      <w:tr>
        <w:tblPrEx>
          <w:tblCellMar>
            <w:top w:w="0" w:type="dxa"/>
            <w:left w:w="108" w:type="dxa"/>
            <w:bottom w:w="0" w:type="dxa"/>
            <w:right w:w="108" w:type="dxa"/>
          </w:tblCellMar>
        </w:tblPrEx>
        <w:trPr>
          <w:trHeight w:val="54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人员配备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员工学历、工作经历、职业证书等文件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第六条（三）</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1.6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违法违规行为和不良诚信记录（近三年）（如有）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承诺声明、公开渠道信息</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第六条（四）</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2</w:t>
            </w:r>
          </w:p>
        </w:tc>
        <w:tc>
          <w:tcPr>
            <w:tcW w:w="45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发行前评估认证</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发行前评估认证整体情况</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约谈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2.2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抽查1：XXX债券</w:t>
            </w:r>
          </w:p>
        </w:tc>
        <w:tc>
          <w:tcPr>
            <w:tcW w:w="3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p>
        </w:tc>
      </w:tr>
      <w:tr>
        <w:tblPrEx>
          <w:tblCellMar>
            <w:top w:w="0" w:type="dxa"/>
            <w:left w:w="108" w:type="dxa"/>
            <w:bottom w:w="0" w:type="dxa"/>
            <w:right w:w="108" w:type="dxa"/>
          </w:tblCellMar>
        </w:tblPrEx>
        <w:trPr>
          <w:trHeight w:val="998"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2.2.1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业务承接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合同、业务承接流转记录、报告等相关文件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第十二条、第十三条、第十五条、第十六条</w:t>
            </w:r>
          </w:p>
        </w:tc>
      </w:tr>
      <w:tr>
        <w:tblPrEx>
          <w:tblCellMar>
            <w:top w:w="0" w:type="dxa"/>
            <w:left w:w="108" w:type="dxa"/>
            <w:bottom w:w="0" w:type="dxa"/>
            <w:right w:w="108" w:type="dxa"/>
          </w:tblCellMar>
        </w:tblPrEx>
        <w:trPr>
          <w:trHeight w:val="1547"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2.2.2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业务实施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报告、工作底稿、收集的资料文件、业务流转记录等</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约谈评估认证人员+查阅资料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第十八条、第十九条、第二十一条、第二十二条、第二十三条、第二十五条、第二十六条</w:t>
            </w:r>
          </w:p>
        </w:tc>
      </w:tr>
      <w:tr>
        <w:tblPrEx>
          <w:tblCellMar>
            <w:top w:w="0" w:type="dxa"/>
            <w:left w:w="108" w:type="dxa"/>
            <w:bottom w:w="0" w:type="dxa"/>
            <w:right w:w="108" w:type="dxa"/>
          </w:tblCellMar>
        </w:tblPrEx>
        <w:trPr>
          <w:trHeight w:val="1007"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2.2.3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报告出具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报告、业务流转记录等</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第二十八条、第二十九条、第三十条、第三十三条</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2.3</w:t>
            </w:r>
          </w:p>
        </w:tc>
        <w:tc>
          <w:tcPr>
            <w:tcW w:w="45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抽查2：XXX债券</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Times New Roman"/>
                <w:kern w:val="0"/>
                <w:sz w:val="24"/>
                <w:szCs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存续期评估认证</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Times New Roman"/>
                <w:kern w:val="0"/>
                <w:sz w:val="24"/>
                <w:szCs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3.1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存续期评估认证整体情况</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约谈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3.2</w:t>
            </w:r>
          </w:p>
        </w:tc>
        <w:tc>
          <w:tcPr>
            <w:tcW w:w="45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抽查1：XXX债券（XX年度跟踪）</w:t>
            </w:r>
          </w:p>
        </w:tc>
      </w:tr>
      <w:tr>
        <w:tblPrEx>
          <w:tblCellMar>
            <w:top w:w="0" w:type="dxa"/>
            <w:left w:w="108" w:type="dxa"/>
            <w:bottom w:w="0" w:type="dxa"/>
            <w:right w:w="108" w:type="dxa"/>
          </w:tblCellMar>
        </w:tblPrEx>
        <w:trPr>
          <w:trHeight w:val="1233"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3.2.1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业务承接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合同、业务承接流转记录、签发报告等相关文件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第十二条、第十三条、第十五条、第十六条</w:t>
            </w:r>
          </w:p>
        </w:tc>
      </w:tr>
      <w:tr>
        <w:tblPrEx>
          <w:tblCellMar>
            <w:top w:w="0" w:type="dxa"/>
            <w:left w:w="108" w:type="dxa"/>
            <w:bottom w:w="0" w:type="dxa"/>
            <w:right w:w="108" w:type="dxa"/>
          </w:tblCellMar>
        </w:tblPrEx>
        <w:trPr>
          <w:trHeight w:val="1514"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3.2.2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业务实施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报告、工作底稿、收集资料文件（尽调底稿、资金使用台账或凭证等等）、业务承做流转记录等</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访谈评估认证人员+查阅资料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第十八条、第二十条、第二十一条、第二十二条、第二十三条、第二十五条、第二十六条</w:t>
            </w:r>
          </w:p>
        </w:tc>
      </w:tr>
      <w:tr>
        <w:tblPrEx>
          <w:tblCellMar>
            <w:top w:w="0" w:type="dxa"/>
            <w:left w:w="108" w:type="dxa"/>
            <w:bottom w:w="0" w:type="dxa"/>
            <w:right w:w="108" w:type="dxa"/>
          </w:tblCellMar>
        </w:tblPrEx>
        <w:trPr>
          <w:trHeight w:val="113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3.2.3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报告出具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报告、业务承做流转记录等</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查阅资料</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现场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olor w:val="000000"/>
                <w:kern w:val="0"/>
                <w:sz w:val="24"/>
                <w:szCs w:val="24"/>
              </w:rPr>
            </w:pPr>
            <w:r>
              <w:rPr>
                <w:rFonts w:hint="eastAsia" w:ascii="仿宋_GB2312" w:hAnsi="宋体" w:eastAsia="仿宋_GB2312"/>
                <w:b/>
                <w:bCs/>
                <w:color w:val="000000"/>
                <w:kern w:val="0"/>
                <w:sz w:val="24"/>
                <w:szCs w:val="24"/>
              </w:rPr>
              <w:t>〔2017〕第20号</w:t>
            </w:r>
            <w:r>
              <w:rPr>
                <w:rFonts w:hint="eastAsia" w:ascii="仿宋_GB2312" w:hAnsi="宋体" w:eastAsia="仿宋_GB2312"/>
                <w:color w:val="000000"/>
                <w:kern w:val="0"/>
                <w:sz w:val="24"/>
                <w:szCs w:val="24"/>
              </w:rPr>
              <w:t xml:space="preserve"> 第二十八条、第二十九条、第三十条、第三十一条、第三十二条、第三十三条</w:t>
            </w:r>
          </w:p>
        </w:tc>
      </w:tr>
      <w:tr>
        <w:tblPrEx>
          <w:tblCellMar>
            <w:top w:w="0" w:type="dxa"/>
            <w:left w:w="108" w:type="dxa"/>
            <w:bottom w:w="0" w:type="dxa"/>
            <w:right w:w="108" w:type="dxa"/>
          </w:tblCellMar>
        </w:tblPrEx>
        <w:trPr>
          <w:trHeight w:val="27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3.3</w:t>
            </w:r>
          </w:p>
        </w:tc>
        <w:tc>
          <w:tcPr>
            <w:tcW w:w="45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抽查2：XXX债券（XX年度跟踪）</w:t>
            </w:r>
          </w:p>
        </w:tc>
      </w:tr>
      <w:tr>
        <w:tblPrEx>
          <w:tblCellMar>
            <w:top w:w="0" w:type="dxa"/>
            <w:left w:w="108" w:type="dxa"/>
            <w:bottom w:w="0" w:type="dxa"/>
            <w:right w:w="108" w:type="dxa"/>
          </w:tblCellMar>
        </w:tblPrEx>
        <w:trPr>
          <w:trHeight w:val="222"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Times New Roman"/>
                <w:kern w:val="0"/>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r>
              <w:rPr>
                <w:rFonts w:hint="eastAsia" w:ascii="仿宋_GB2312" w:hAnsi="宋体" w:eastAsia="仿宋_GB2312"/>
                <w:b/>
                <w:bCs/>
                <w:color w:val="000000"/>
                <w:kern w:val="0"/>
                <w:sz w:val="24"/>
                <w:szCs w:val="24"/>
              </w:rPr>
              <w:t>……</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b/>
                <w:bCs/>
                <w:color w:val="000000"/>
                <w:kern w:val="0"/>
                <w:sz w:val="24"/>
                <w:szCs w:val="24"/>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Times New Roman"/>
                <w:kern w:val="0"/>
                <w:sz w:val="24"/>
                <w:szCs w:val="24"/>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4"/>
                <w:szCs w:val="24"/>
              </w:rPr>
            </w:pPr>
          </w:p>
        </w:tc>
      </w:tr>
    </w:tbl>
    <w:p>
      <w:pPr>
        <w:rPr>
          <w:sz w:val="10"/>
          <w:szCs w:val="10"/>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98618"/>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781833"/>
    </w:sdtPr>
    <w:sdtContent>
      <w:p>
        <w:pPr>
          <w:pStyle w:val="8"/>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pPr>
      <w:r>
        <w:rPr>
          <w:rStyle w:val="21"/>
        </w:rPr>
        <w:footnoteRef/>
      </w:r>
      <w:r>
        <w:t xml:space="preserve"> </w:t>
      </w:r>
      <w:r>
        <w:rPr>
          <w:rFonts w:hint="eastAsia" w:ascii="Times New Roman" w:hAnsi="Times New Roman"/>
          <w:sz w:val="21"/>
          <w:szCs w:val="21"/>
        </w:rPr>
        <w:t xml:space="preserve">《中国人民银行 </w:t>
      </w:r>
      <w:r>
        <w:rPr>
          <w:rFonts w:ascii="Times New Roman" w:hAnsi="Times New Roman"/>
          <w:sz w:val="21"/>
          <w:szCs w:val="21"/>
        </w:rPr>
        <w:t>中国证券监督管理委员会公告》</w:t>
      </w:r>
      <w:r>
        <w:rPr>
          <w:rFonts w:hint="eastAsia" w:ascii="Times New Roman" w:hAnsi="Times New Roman"/>
          <w:sz w:val="21"/>
          <w:szCs w:val="21"/>
        </w:rPr>
        <w:t>（〔</w:t>
      </w:r>
      <w:r>
        <w:rPr>
          <w:rFonts w:ascii="Times New Roman" w:hAnsi="Times New Roman"/>
          <w:sz w:val="21"/>
          <w:szCs w:val="21"/>
        </w:rPr>
        <w:t>2017〕第20号）</w:t>
      </w:r>
      <w:r>
        <w:rPr>
          <w:rFonts w:hint="eastAsia" w:ascii="Times New Roman" w:hAnsi="Times New Roman"/>
          <w:sz w:val="21"/>
          <w:szCs w:val="21"/>
        </w:rPr>
        <w:t>，下同。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CDB00"/>
    <w:multiLevelType w:val="singleLevel"/>
    <w:tmpl w:val="B7BCDB00"/>
    <w:lvl w:ilvl="0" w:tentative="0">
      <w:start w:val="3"/>
      <w:numFmt w:val="chineseCounting"/>
      <w:suff w:val="space"/>
      <w:lvlText w:val="第%1条"/>
      <w:lvlJc w:val="left"/>
      <w:rPr>
        <w:rFonts w:hint="eastAsia"/>
        <w:b/>
        <w:bCs/>
      </w:rPr>
    </w:lvl>
  </w:abstractNum>
  <w:abstractNum w:abstractNumId="1">
    <w:nsid w:val="77E27963"/>
    <w:multiLevelType w:val="multilevel"/>
    <w:tmpl w:val="77E27963"/>
    <w:lvl w:ilvl="0" w:tentative="0">
      <w:start w:val="5"/>
      <w:numFmt w:val="japaneseCounting"/>
      <w:lvlText w:val="（%1）"/>
      <w:lvlJc w:val="left"/>
      <w:pPr>
        <w:ind w:left="1445" w:hanging="88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789BAF58"/>
    <w:multiLevelType w:val="singleLevel"/>
    <w:tmpl w:val="789BAF5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3ZTNmMGQyYWNmOGU1MDhlNDA5ZmI3NGQ5MjdlMWMifQ=="/>
  </w:docVars>
  <w:rsids>
    <w:rsidRoot w:val="00EC47EC"/>
    <w:rsid w:val="00043354"/>
    <w:rsid w:val="00046A97"/>
    <w:rsid w:val="00060754"/>
    <w:rsid w:val="00075F46"/>
    <w:rsid w:val="00077FB1"/>
    <w:rsid w:val="00084B46"/>
    <w:rsid w:val="0009711B"/>
    <w:rsid w:val="00097815"/>
    <w:rsid w:val="000A1C65"/>
    <w:rsid w:val="000A26FB"/>
    <w:rsid w:val="000B4054"/>
    <w:rsid w:val="000E340C"/>
    <w:rsid w:val="000F3110"/>
    <w:rsid w:val="000F3B58"/>
    <w:rsid w:val="000F5BCC"/>
    <w:rsid w:val="001053DF"/>
    <w:rsid w:val="0010750C"/>
    <w:rsid w:val="001128AC"/>
    <w:rsid w:val="00126408"/>
    <w:rsid w:val="00130CCE"/>
    <w:rsid w:val="00131BED"/>
    <w:rsid w:val="00135C93"/>
    <w:rsid w:val="00141D78"/>
    <w:rsid w:val="00154FC9"/>
    <w:rsid w:val="00165DA1"/>
    <w:rsid w:val="0019470D"/>
    <w:rsid w:val="001A7B2A"/>
    <w:rsid w:val="001B48D2"/>
    <w:rsid w:val="001C37E3"/>
    <w:rsid w:val="001C3C76"/>
    <w:rsid w:val="001C7E66"/>
    <w:rsid w:val="001E41CC"/>
    <w:rsid w:val="001E4D7A"/>
    <w:rsid w:val="00206DBB"/>
    <w:rsid w:val="00210350"/>
    <w:rsid w:val="00210943"/>
    <w:rsid w:val="00211509"/>
    <w:rsid w:val="00235A72"/>
    <w:rsid w:val="00245D07"/>
    <w:rsid w:val="00247C6C"/>
    <w:rsid w:val="00253C99"/>
    <w:rsid w:val="0026352F"/>
    <w:rsid w:val="00285105"/>
    <w:rsid w:val="002C4B50"/>
    <w:rsid w:val="002C720D"/>
    <w:rsid w:val="002E5935"/>
    <w:rsid w:val="002E5C01"/>
    <w:rsid w:val="00321824"/>
    <w:rsid w:val="003469CE"/>
    <w:rsid w:val="003506A4"/>
    <w:rsid w:val="00355F36"/>
    <w:rsid w:val="003753B1"/>
    <w:rsid w:val="003A2889"/>
    <w:rsid w:val="003B11B3"/>
    <w:rsid w:val="003C1448"/>
    <w:rsid w:val="003E2B74"/>
    <w:rsid w:val="003F098C"/>
    <w:rsid w:val="003F1107"/>
    <w:rsid w:val="003F539E"/>
    <w:rsid w:val="0040724D"/>
    <w:rsid w:val="00442583"/>
    <w:rsid w:val="004509BA"/>
    <w:rsid w:val="00451C39"/>
    <w:rsid w:val="00452519"/>
    <w:rsid w:val="00477D00"/>
    <w:rsid w:val="0048750F"/>
    <w:rsid w:val="00490FAA"/>
    <w:rsid w:val="004A0513"/>
    <w:rsid w:val="004A3697"/>
    <w:rsid w:val="004B1FE1"/>
    <w:rsid w:val="004D04F5"/>
    <w:rsid w:val="004D5B48"/>
    <w:rsid w:val="004E267D"/>
    <w:rsid w:val="00500478"/>
    <w:rsid w:val="00503072"/>
    <w:rsid w:val="00507E45"/>
    <w:rsid w:val="0053509F"/>
    <w:rsid w:val="00541ABA"/>
    <w:rsid w:val="00544AF6"/>
    <w:rsid w:val="005519E9"/>
    <w:rsid w:val="00551FBA"/>
    <w:rsid w:val="005800F2"/>
    <w:rsid w:val="00581396"/>
    <w:rsid w:val="00581833"/>
    <w:rsid w:val="0058480B"/>
    <w:rsid w:val="005920D2"/>
    <w:rsid w:val="005925FE"/>
    <w:rsid w:val="005F5086"/>
    <w:rsid w:val="00602106"/>
    <w:rsid w:val="00612EBB"/>
    <w:rsid w:val="0064043D"/>
    <w:rsid w:val="00642A9F"/>
    <w:rsid w:val="00661FA0"/>
    <w:rsid w:val="00670D6E"/>
    <w:rsid w:val="00671421"/>
    <w:rsid w:val="00672EB5"/>
    <w:rsid w:val="00673D62"/>
    <w:rsid w:val="00675745"/>
    <w:rsid w:val="00681FCC"/>
    <w:rsid w:val="006918C2"/>
    <w:rsid w:val="00693C91"/>
    <w:rsid w:val="006957EB"/>
    <w:rsid w:val="006C2C89"/>
    <w:rsid w:val="006C56A0"/>
    <w:rsid w:val="006E06E3"/>
    <w:rsid w:val="006E146C"/>
    <w:rsid w:val="00726BDF"/>
    <w:rsid w:val="00727691"/>
    <w:rsid w:val="007459C7"/>
    <w:rsid w:val="00750976"/>
    <w:rsid w:val="007577AE"/>
    <w:rsid w:val="00766E70"/>
    <w:rsid w:val="007822BF"/>
    <w:rsid w:val="00784989"/>
    <w:rsid w:val="007907C4"/>
    <w:rsid w:val="00792479"/>
    <w:rsid w:val="007965FC"/>
    <w:rsid w:val="00797FDA"/>
    <w:rsid w:val="007A7918"/>
    <w:rsid w:val="007B0D2D"/>
    <w:rsid w:val="007B7D1C"/>
    <w:rsid w:val="007C0EB8"/>
    <w:rsid w:val="007C5A51"/>
    <w:rsid w:val="007E7116"/>
    <w:rsid w:val="007E7F18"/>
    <w:rsid w:val="007F0829"/>
    <w:rsid w:val="007F563B"/>
    <w:rsid w:val="00805490"/>
    <w:rsid w:val="0080553E"/>
    <w:rsid w:val="008073FC"/>
    <w:rsid w:val="008139EF"/>
    <w:rsid w:val="008315B7"/>
    <w:rsid w:val="00831F59"/>
    <w:rsid w:val="00833AEF"/>
    <w:rsid w:val="00833CC0"/>
    <w:rsid w:val="00834BDB"/>
    <w:rsid w:val="00834C64"/>
    <w:rsid w:val="00840DA8"/>
    <w:rsid w:val="008434F1"/>
    <w:rsid w:val="00855404"/>
    <w:rsid w:val="00855A72"/>
    <w:rsid w:val="00863FA4"/>
    <w:rsid w:val="00882657"/>
    <w:rsid w:val="008B5952"/>
    <w:rsid w:val="008B73B3"/>
    <w:rsid w:val="008D3DEA"/>
    <w:rsid w:val="009014DF"/>
    <w:rsid w:val="009026D3"/>
    <w:rsid w:val="00906515"/>
    <w:rsid w:val="00934696"/>
    <w:rsid w:val="00960E68"/>
    <w:rsid w:val="00977C8C"/>
    <w:rsid w:val="00981699"/>
    <w:rsid w:val="009912F7"/>
    <w:rsid w:val="009A4275"/>
    <w:rsid w:val="009B001A"/>
    <w:rsid w:val="009B0C78"/>
    <w:rsid w:val="009B3B4B"/>
    <w:rsid w:val="009B6175"/>
    <w:rsid w:val="009B77BE"/>
    <w:rsid w:val="009C0CE3"/>
    <w:rsid w:val="009C0ECE"/>
    <w:rsid w:val="009D1085"/>
    <w:rsid w:val="009D5E91"/>
    <w:rsid w:val="009E3BDF"/>
    <w:rsid w:val="009E7EC1"/>
    <w:rsid w:val="009F1CD5"/>
    <w:rsid w:val="009F2EE2"/>
    <w:rsid w:val="009F7C90"/>
    <w:rsid w:val="00A12AC0"/>
    <w:rsid w:val="00A47D6D"/>
    <w:rsid w:val="00A50F76"/>
    <w:rsid w:val="00A557C4"/>
    <w:rsid w:val="00A569AA"/>
    <w:rsid w:val="00A733C4"/>
    <w:rsid w:val="00A82A29"/>
    <w:rsid w:val="00A876B1"/>
    <w:rsid w:val="00A90072"/>
    <w:rsid w:val="00A94D36"/>
    <w:rsid w:val="00AA5C44"/>
    <w:rsid w:val="00AD05BB"/>
    <w:rsid w:val="00AD5FC8"/>
    <w:rsid w:val="00AE0C66"/>
    <w:rsid w:val="00AE2CBA"/>
    <w:rsid w:val="00AE7B3C"/>
    <w:rsid w:val="00AF240C"/>
    <w:rsid w:val="00AF6B41"/>
    <w:rsid w:val="00B14E5F"/>
    <w:rsid w:val="00B154EE"/>
    <w:rsid w:val="00B17FBA"/>
    <w:rsid w:val="00B22356"/>
    <w:rsid w:val="00B25A24"/>
    <w:rsid w:val="00B37548"/>
    <w:rsid w:val="00B6017D"/>
    <w:rsid w:val="00B937CA"/>
    <w:rsid w:val="00B96365"/>
    <w:rsid w:val="00BA5F64"/>
    <w:rsid w:val="00BB1631"/>
    <w:rsid w:val="00BB5268"/>
    <w:rsid w:val="00BC77FB"/>
    <w:rsid w:val="00BD4F9E"/>
    <w:rsid w:val="00BE18CD"/>
    <w:rsid w:val="00BF0E82"/>
    <w:rsid w:val="00BF1292"/>
    <w:rsid w:val="00BF18A6"/>
    <w:rsid w:val="00BF6B02"/>
    <w:rsid w:val="00C00048"/>
    <w:rsid w:val="00C04084"/>
    <w:rsid w:val="00C077A8"/>
    <w:rsid w:val="00C11E1D"/>
    <w:rsid w:val="00C23295"/>
    <w:rsid w:val="00C306D0"/>
    <w:rsid w:val="00C462C1"/>
    <w:rsid w:val="00C536BE"/>
    <w:rsid w:val="00C56098"/>
    <w:rsid w:val="00C601C1"/>
    <w:rsid w:val="00C60E00"/>
    <w:rsid w:val="00C61F34"/>
    <w:rsid w:val="00C82A7E"/>
    <w:rsid w:val="00C87CA9"/>
    <w:rsid w:val="00C87D39"/>
    <w:rsid w:val="00CB3CE7"/>
    <w:rsid w:val="00CB3F58"/>
    <w:rsid w:val="00CC1A54"/>
    <w:rsid w:val="00CE7877"/>
    <w:rsid w:val="00CF3305"/>
    <w:rsid w:val="00CF37E8"/>
    <w:rsid w:val="00D0522F"/>
    <w:rsid w:val="00D267C2"/>
    <w:rsid w:val="00D30AAF"/>
    <w:rsid w:val="00D3478B"/>
    <w:rsid w:val="00D55653"/>
    <w:rsid w:val="00D67949"/>
    <w:rsid w:val="00D77150"/>
    <w:rsid w:val="00DA3C22"/>
    <w:rsid w:val="00DA45C9"/>
    <w:rsid w:val="00DA50EA"/>
    <w:rsid w:val="00DA5CFF"/>
    <w:rsid w:val="00DD119F"/>
    <w:rsid w:val="00DD3899"/>
    <w:rsid w:val="00DE7E56"/>
    <w:rsid w:val="00E02683"/>
    <w:rsid w:val="00E04E3D"/>
    <w:rsid w:val="00E05EE2"/>
    <w:rsid w:val="00E41F61"/>
    <w:rsid w:val="00E4683F"/>
    <w:rsid w:val="00E660F3"/>
    <w:rsid w:val="00E6616B"/>
    <w:rsid w:val="00E7024B"/>
    <w:rsid w:val="00E72FED"/>
    <w:rsid w:val="00E84874"/>
    <w:rsid w:val="00EB67A4"/>
    <w:rsid w:val="00EC179C"/>
    <w:rsid w:val="00EC238A"/>
    <w:rsid w:val="00EC47EC"/>
    <w:rsid w:val="00EC5B03"/>
    <w:rsid w:val="00EC6102"/>
    <w:rsid w:val="00ED3096"/>
    <w:rsid w:val="00EE0496"/>
    <w:rsid w:val="00EF3BAB"/>
    <w:rsid w:val="00EF58C4"/>
    <w:rsid w:val="00F058CF"/>
    <w:rsid w:val="00F105FB"/>
    <w:rsid w:val="00F11231"/>
    <w:rsid w:val="00F1515A"/>
    <w:rsid w:val="00F16E55"/>
    <w:rsid w:val="00F22473"/>
    <w:rsid w:val="00F36AC4"/>
    <w:rsid w:val="00F437F6"/>
    <w:rsid w:val="00F47FEC"/>
    <w:rsid w:val="00F55E7B"/>
    <w:rsid w:val="00F6253F"/>
    <w:rsid w:val="00F6746D"/>
    <w:rsid w:val="00F748FB"/>
    <w:rsid w:val="00F76F0B"/>
    <w:rsid w:val="00F93761"/>
    <w:rsid w:val="00FA2050"/>
    <w:rsid w:val="00FA3332"/>
    <w:rsid w:val="00FA6340"/>
    <w:rsid w:val="00FB2980"/>
    <w:rsid w:val="00FC0EF0"/>
    <w:rsid w:val="00FC5D48"/>
    <w:rsid w:val="00FD1D3B"/>
    <w:rsid w:val="00FD6745"/>
    <w:rsid w:val="010D3EA0"/>
    <w:rsid w:val="010F1DA1"/>
    <w:rsid w:val="0154135D"/>
    <w:rsid w:val="018B2ADC"/>
    <w:rsid w:val="01AD6E7F"/>
    <w:rsid w:val="024416BC"/>
    <w:rsid w:val="02571C51"/>
    <w:rsid w:val="03D42E2E"/>
    <w:rsid w:val="03E52E9D"/>
    <w:rsid w:val="03FD515B"/>
    <w:rsid w:val="04076AEA"/>
    <w:rsid w:val="042C1EE9"/>
    <w:rsid w:val="0458580D"/>
    <w:rsid w:val="0462668B"/>
    <w:rsid w:val="04815F22"/>
    <w:rsid w:val="04D07A99"/>
    <w:rsid w:val="04DA26C6"/>
    <w:rsid w:val="058C7E64"/>
    <w:rsid w:val="05B2719F"/>
    <w:rsid w:val="05EA2DDC"/>
    <w:rsid w:val="065B7836"/>
    <w:rsid w:val="06B73D42"/>
    <w:rsid w:val="0768220B"/>
    <w:rsid w:val="08537C75"/>
    <w:rsid w:val="08987BE8"/>
    <w:rsid w:val="08AE02E0"/>
    <w:rsid w:val="08FA2CE4"/>
    <w:rsid w:val="09104908"/>
    <w:rsid w:val="09226FF6"/>
    <w:rsid w:val="0A39682A"/>
    <w:rsid w:val="0B6D6042"/>
    <w:rsid w:val="0B7373D0"/>
    <w:rsid w:val="0B7A075E"/>
    <w:rsid w:val="0B995089"/>
    <w:rsid w:val="0C2B3807"/>
    <w:rsid w:val="0C850FD2"/>
    <w:rsid w:val="0CB16402"/>
    <w:rsid w:val="0D3408F1"/>
    <w:rsid w:val="0D782A7C"/>
    <w:rsid w:val="0D8238FA"/>
    <w:rsid w:val="0DBA6F1D"/>
    <w:rsid w:val="0DCB704F"/>
    <w:rsid w:val="0DF16743"/>
    <w:rsid w:val="0E4D5CB6"/>
    <w:rsid w:val="0E7C49F6"/>
    <w:rsid w:val="0EA31D7A"/>
    <w:rsid w:val="0EFB1BB6"/>
    <w:rsid w:val="0F557518"/>
    <w:rsid w:val="0FC17AE4"/>
    <w:rsid w:val="0FC46EA3"/>
    <w:rsid w:val="0FE8729B"/>
    <w:rsid w:val="10580152"/>
    <w:rsid w:val="108E1C8A"/>
    <w:rsid w:val="110C1E59"/>
    <w:rsid w:val="114645B6"/>
    <w:rsid w:val="120945EA"/>
    <w:rsid w:val="123150B7"/>
    <w:rsid w:val="1289790B"/>
    <w:rsid w:val="12F20F65"/>
    <w:rsid w:val="13C67116"/>
    <w:rsid w:val="140306B5"/>
    <w:rsid w:val="142B4CEC"/>
    <w:rsid w:val="149E54BE"/>
    <w:rsid w:val="14A32AD4"/>
    <w:rsid w:val="14A64372"/>
    <w:rsid w:val="153C1C8F"/>
    <w:rsid w:val="154E5624"/>
    <w:rsid w:val="158B3902"/>
    <w:rsid w:val="15CE3B81"/>
    <w:rsid w:val="16607E50"/>
    <w:rsid w:val="17712A08"/>
    <w:rsid w:val="17B774CE"/>
    <w:rsid w:val="186F0274"/>
    <w:rsid w:val="18921FDE"/>
    <w:rsid w:val="18B057C0"/>
    <w:rsid w:val="18B90B18"/>
    <w:rsid w:val="18C354F3"/>
    <w:rsid w:val="19346C3C"/>
    <w:rsid w:val="19571A9B"/>
    <w:rsid w:val="19AE0E7A"/>
    <w:rsid w:val="1A694281"/>
    <w:rsid w:val="1A75281D"/>
    <w:rsid w:val="1A757C2F"/>
    <w:rsid w:val="1AFF2A2E"/>
    <w:rsid w:val="1BA809D0"/>
    <w:rsid w:val="1BF65BDF"/>
    <w:rsid w:val="1BFE7149"/>
    <w:rsid w:val="1D3A7D4E"/>
    <w:rsid w:val="1D48246B"/>
    <w:rsid w:val="1D9751A0"/>
    <w:rsid w:val="1DAC64F7"/>
    <w:rsid w:val="1DD27F86"/>
    <w:rsid w:val="1E74728F"/>
    <w:rsid w:val="1E775AB5"/>
    <w:rsid w:val="1EBD0C36"/>
    <w:rsid w:val="1FA47BD6"/>
    <w:rsid w:val="1FAE4EBE"/>
    <w:rsid w:val="1FC3227C"/>
    <w:rsid w:val="20312A43"/>
    <w:rsid w:val="207B66B3"/>
    <w:rsid w:val="20F47CE1"/>
    <w:rsid w:val="216C2D89"/>
    <w:rsid w:val="218B6DCA"/>
    <w:rsid w:val="21FA7AAB"/>
    <w:rsid w:val="220B3A67"/>
    <w:rsid w:val="22350AE4"/>
    <w:rsid w:val="22A003A3"/>
    <w:rsid w:val="22C65FA9"/>
    <w:rsid w:val="22F67587"/>
    <w:rsid w:val="233B65CE"/>
    <w:rsid w:val="234731C4"/>
    <w:rsid w:val="235A2EF8"/>
    <w:rsid w:val="2376433B"/>
    <w:rsid w:val="23A423C5"/>
    <w:rsid w:val="244225E4"/>
    <w:rsid w:val="24627CA9"/>
    <w:rsid w:val="2488354C"/>
    <w:rsid w:val="24B12ABC"/>
    <w:rsid w:val="24BD4A73"/>
    <w:rsid w:val="24D64800"/>
    <w:rsid w:val="25357778"/>
    <w:rsid w:val="254710EF"/>
    <w:rsid w:val="259A3A7F"/>
    <w:rsid w:val="25F448DB"/>
    <w:rsid w:val="264D34EB"/>
    <w:rsid w:val="26946721"/>
    <w:rsid w:val="273D3031"/>
    <w:rsid w:val="27846795"/>
    <w:rsid w:val="281A0EA7"/>
    <w:rsid w:val="289B1FE8"/>
    <w:rsid w:val="295403E9"/>
    <w:rsid w:val="296F50FC"/>
    <w:rsid w:val="298A5075"/>
    <w:rsid w:val="29C16A0B"/>
    <w:rsid w:val="2A1536D4"/>
    <w:rsid w:val="2A1C7EEC"/>
    <w:rsid w:val="2A63478C"/>
    <w:rsid w:val="2ADE3038"/>
    <w:rsid w:val="2B7B7EAF"/>
    <w:rsid w:val="2BEE0681"/>
    <w:rsid w:val="2D0A14EA"/>
    <w:rsid w:val="2D0D4B37"/>
    <w:rsid w:val="2D7E3C87"/>
    <w:rsid w:val="2D937732"/>
    <w:rsid w:val="2DC23B73"/>
    <w:rsid w:val="2E3F6F72"/>
    <w:rsid w:val="2E9F55FB"/>
    <w:rsid w:val="2ED14C46"/>
    <w:rsid w:val="2F262060"/>
    <w:rsid w:val="2FC5794B"/>
    <w:rsid w:val="30297EDA"/>
    <w:rsid w:val="302C13A3"/>
    <w:rsid w:val="307D5A34"/>
    <w:rsid w:val="30B35813"/>
    <w:rsid w:val="30DF4669"/>
    <w:rsid w:val="3103697D"/>
    <w:rsid w:val="310719A6"/>
    <w:rsid w:val="313F528E"/>
    <w:rsid w:val="317C228B"/>
    <w:rsid w:val="31876B14"/>
    <w:rsid w:val="31B66149"/>
    <w:rsid w:val="31B91EE7"/>
    <w:rsid w:val="31E06CBE"/>
    <w:rsid w:val="32904240"/>
    <w:rsid w:val="32BF2D77"/>
    <w:rsid w:val="33252B0E"/>
    <w:rsid w:val="33D91C17"/>
    <w:rsid w:val="33FF3FCE"/>
    <w:rsid w:val="34397C42"/>
    <w:rsid w:val="34721091"/>
    <w:rsid w:val="348A2878"/>
    <w:rsid w:val="355E6877"/>
    <w:rsid w:val="35887450"/>
    <w:rsid w:val="359C2EFC"/>
    <w:rsid w:val="36085E3D"/>
    <w:rsid w:val="360E7D3C"/>
    <w:rsid w:val="36104984"/>
    <w:rsid w:val="3643781B"/>
    <w:rsid w:val="367774C5"/>
    <w:rsid w:val="36ED3ECB"/>
    <w:rsid w:val="37015178"/>
    <w:rsid w:val="37C93D50"/>
    <w:rsid w:val="38821930"/>
    <w:rsid w:val="39197C03"/>
    <w:rsid w:val="39290F4A"/>
    <w:rsid w:val="39684EB4"/>
    <w:rsid w:val="3A117A55"/>
    <w:rsid w:val="3A2B3642"/>
    <w:rsid w:val="3A4B2FEE"/>
    <w:rsid w:val="3A5169AB"/>
    <w:rsid w:val="3A6F5083"/>
    <w:rsid w:val="3A83468A"/>
    <w:rsid w:val="3A9C399E"/>
    <w:rsid w:val="3AB6671B"/>
    <w:rsid w:val="3BB07701"/>
    <w:rsid w:val="3BC35686"/>
    <w:rsid w:val="3CC66791"/>
    <w:rsid w:val="3DB177F5"/>
    <w:rsid w:val="3DD27647"/>
    <w:rsid w:val="3DEE7764"/>
    <w:rsid w:val="3E9123D7"/>
    <w:rsid w:val="3F4A7E6C"/>
    <w:rsid w:val="405204BF"/>
    <w:rsid w:val="406B1E48"/>
    <w:rsid w:val="40C2752C"/>
    <w:rsid w:val="41671D29"/>
    <w:rsid w:val="42507548"/>
    <w:rsid w:val="429C453B"/>
    <w:rsid w:val="42DA064F"/>
    <w:rsid w:val="42E77EE6"/>
    <w:rsid w:val="43560668"/>
    <w:rsid w:val="43B920B9"/>
    <w:rsid w:val="4441183E"/>
    <w:rsid w:val="446E2DED"/>
    <w:rsid w:val="452D591E"/>
    <w:rsid w:val="45660E30"/>
    <w:rsid w:val="45790441"/>
    <w:rsid w:val="457C27D8"/>
    <w:rsid w:val="45C643A3"/>
    <w:rsid w:val="45EC3A2B"/>
    <w:rsid w:val="45F87868"/>
    <w:rsid w:val="46205483"/>
    <w:rsid w:val="467143E6"/>
    <w:rsid w:val="46DC11B8"/>
    <w:rsid w:val="47354F5E"/>
    <w:rsid w:val="47426A63"/>
    <w:rsid w:val="475573AE"/>
    <w:rsid w:val="475C0367"/>
    <w:rsid w:val="47707C95"/>
    <w:rsid w:val="47AD2D46"/>
    <w:rsid w:val="47DE55F6"/>
    <w:rsid w:val="47ED3A8B"/>
    <w:rsid w:val="48593130"/>
    <w:rsid w:val="488E2B78"/>
    <w:rsid w:val="48B56357"/>
    <w:rsid w:val="498A79D0"/>
    <w:rsid w:val="49AF0FF8"/>
    <w:rsid w:val="49B54F13"/>
    <w:rsid w:val="4A072B32"/>
    <w:rsid w:val="4A0D1DE5"/>
    <w:rsid w:val="4A5D6CA6"/>
    <w:rsid w:val="4A952E03"/>
    <w:rsid w:val="4AEB42B2"/>
    <w:rsid w:val="4B0E61F2"/>
    <w:rsid w:val="4B6D2425"/>
    <w:rsid w:val="4B754894"/>
    <w:rsid w:val="4B7B0B4B"/>
    <w:rsid w:val="4BC93EC7"/>
    <w:rsid w:val="4C5648AA"/>
    <w:rsid w:val="4C8C73CE"/>
    <w:rsid w:val="4D524949"/>
    <w:rsid w:val="4D662315"/>
    <w:rsid w:val="4D704F42"/>
    <w:rsid w:val="4DA16EA9"/>
    <w:rsid w:val="4DAF77C9"/>
    <w:rsid w:val="4DBF39E3"/>
    <w:rsid w:val="4DC1754C"/>
    <w:rsid w:val="4DE20FEB"/>
    <w:rsid w:val="4E1F1DE5"/>
    <w:rsid w:val="4E6036FA"/>
    <w:rsid w:val="4E824F2D"/>
    <w:rsid w:val="4E8C7B5A"/>
    <w:rsid w:val="4E9C3B15"/>
    <w:rsid w:val="4E9E788D"/>
    <w:rsid w:val="4EBB3F9B"/>
    <w:rsid w:val="4EDA2F0D"/>
    <w:rsid w:val="4F525484"/>
    <w:rsid w:val="4F7A5C04"/>
    <w:rsid w:val="4F820463"/>
    <w:rsid w:val="4F874B4E"/>
    <w:rsid w:val="4FA170B1"/>
    <w:rsid w:val="505521CD"/>
    <w:rsid w:val="50AC6291"/>
    <w:rsid w:val="50DD27DE"/>
    <w:rsid w:val="51151B21"/>
    <w:rsid w:val="52002797"/>
    <w:rsid w:val="52555D63"/>
    <w:rsid w:val="52683CFA"/>
    <w:rsid w:val="52B72CCB"/>
    <w:rsid w:val="52CD0741"/>
    <w:rsid w:val="53143C18"/>
    <w:rsid w:val="5322283B"/>
    <w:rsid w:val="53C953AC"/>
    <w:rsid w:val="53DC50DF"/>
    <w:rsid w:val="54C31CC2"/>
    <w:rsid w:val="54DD36F1"/>
    <w:rsid w:val="552E156D"/>
    <w:rsid w:val="55A80624"/>
    <w:rsid w:val="565C42B5"/>
    <w:rsid w:val="567C4958"/>
    <w:rsid w:val="56C803FA"/>
    <w:rsid w:val="56C81124"/>
    <w:rsid w:val="572D1F52"/>
    <w:rsid w:val="5791744D"/>
    <w:rsid w:val="57E33E19"/>
    <w:rsid w:val="58794897"/>
    <w:rsid w:val="58C25462"/>
    <w:rsid w:val="58D77C23"/>
    <w:rsid w:val="58DD36E9"/>
    <w:rsid w:val="58FB309D"/>
    <w:rsid w:val="59345076"/>
    <w:rsid w:val="59637709"/>
    <w:rsid w:val="597162CA"/>
    <w:rsid w:val="59A10231"/>
    <w:rsid w:val="59DE43C5"/>
    <w:rsid w:val="5A4D73A2"/>
    <w:rsid w:val="5A5F167B"/>
    <w:rsid w:val="5A865DA5"/>
    <w:rsid w:val="5C1271C4"/>
    <w:rsid w:val="5C514191"/>
    <w:rsid w:val="5C910060"/>
    <w:rsid w:val="5CCE4A5A"/>
    <w:rsid w:val="5D191ED1"/>
    <w:rsid w:val="5D1C199A"/>
    <w:rsid w:val="5D284EF1"/>
    <w:rsid w:val="5D521C20"/>
    <w:rsid w:val="5DA303FE"/>
    <w:rsid w:val="5E7B3747"/>
    <w:rsid w:val="5EA30231"/>
    <w:rsid w:val="5ED76841"/>
    <w:rsid w:val="5F4B4EC7"/>
    <w:rsid w:val="5F595E81"/>
    <w:rsid w:val="5F7D71F9"/>
    <w:rsid w:val="5FCF78A6"/>
    <w:rsid w:val="60165DC8"/>
    <w:rsid w:val="60C34F31"/>
    <w:rsid w:val="61447E20"/>
    <w:rsid w:val="614A2C54"/>
    <w:rsid w:val="61572249"/>
    <w:rsid w:val="619012B7"/>
    <w:rsid w:val="61C24198"/>
    <w:rsid w:val="61DA69D6"/>
    <w:rsid w:val="623139CC"/>
    <w:rsid w:val="63083026"/>
    <w:rsid w:val="633D0FCB"/>
    <w:rsid w:val="6353259C"/>
    <w:rsid w:val="64801AB7"/>
    <w:rsid w:val="64C00105"/>
    <w:rsid w:val="655D0BDF"/>
    <w:rsid w:val="65744A4C"/>
    <w:rsid w:val="65B31A18"/>
    <w:rsid w:val="65B75B1D"/>
    <w:rsid w:val="66742F55"/>
    <w:rsid w:val="66EF5CB5"/>
    <w:rsid w:val="672843FB"/>
    <w:rsid w:val="677D3CF6"/>
    <w:rsid w:val="68071BA7"/>
    <w:rsid w:val="683F7593"/>
    <w:rsid w:val="69AE49D0"/>
    <w:rsid w:val="69EE6893"/>
    <w:rsid w:val="69F11E1E"/>
    <w:rsid w:val="6A615EE7"/>
    <w:rsid w:val="6A633635"/>
    <w:rsid w:val="6A6E2492"/>
    <w:rsid w:val="6A866E30"/>
    <w:rsid w:val="6AD95A7D"/>
    <w:rsid w:val="6B0D1266"/>
    <w:rsid w:val="6B3D24B0"/>
    <w:rsid w:val="6B5E5F82"/>
    <w:rsid w:val="6B9B0F84"/>
    <w:rsid w:val="6BCE135A"/>
    <w:rsid w:val="6BFA7971"/>
    <w:rsid w:val="6C313697"/>
    <w:rsid w:val="6C7A503E"/>
    <w:rsid w:val="6C861C34"/>
    <w:rsid w:val="6C8934D3"/>
    <w:rsid w:val="6D1234C8"/>
    <w:rsid w:val="6D823071"/>
    <w:rsid w:val="6DD51095"/>
    <w:rsid w:val="6DF04A3F"/>
    <w:rsid w:val="6E985C4F"/>
    <w:rsid w:val="6EA165BF"/>
    <w:rsid w:val="6EC424BD"/>
    <w:rsid w:val="6EEB110C"/>
    <w:rsid w:val="6EEC475E"/>
    <w:rsid w:val="6EFD5AB2"/>
    <w:rsid w:val="6F5031F4"/>
    <w:rsid w:val="6F6508EE"/>
    <w:rsid w:val="6F7C2E7B"/>
    <w:rsid w:val="6FAD47EF"/>
    <w:rsid w:val="700F163E"/>
    <w:rsid w:val="70917EB9"/>
    <w:rsid w:val="70D07922"/>
    <w:rsid w:val="70D96861"/>
    <w:rsid w:val="71BE777C"/>
    <w:rsid w:val="72281098"/>
    <w:rsid w:val="726A6A4C"/>
    <w:rsid w:val="72924ECA"/>
    <w:rsid w:val="739764D5"/>
    <w:rsid w:val="74EA2A08"/>
    <w:rsid w:val="758E56B6"/>
    <w:rsid w:val="762D4ECF"/>
    <w:rsid w:val="76742AFE"/>
    <w:rsid w:val="76D108FC"/>
    <w:rsid w:val="778E053C"/>
    <w:rsid w:val="778E4093"/>
    <w:rsid w:val="77A45665"/>
    <w:rsid w:val="77D22361"/>
    <w:rsid w:val="77ED36E0"/>
    <w:rsid w:val="781D7479"/>
    <w:rsid w:val="790740FD"/>
    <w:rsid w:val="79ED6E4F"/>
    <w:rsid w:val="7A157040"/>
    <w:rsid w:val="7A232871"/>
    <w:rsid w:val="7A601D17"/>
    <w:rsid w:val="7A7A445B"/>
    <w:rsid w:val="7AD85D51"/>
    <w:rsid w:val="7B503EED"/>
    <w:rsid w:val="7B7A6E08"/>
    <w:rsid w:val="7C625B20"/>
    <w:rsid w:val="7C9B7036"/>
    <w:rsid w:val="7D07647A"/>
    <w:rsid w:val="7D364FB1"/>
    <w:rsid w:val="7D450D50"/>
    <w:rsid w:val="7D4E22FA"/>
    <w:rsid w:val="7D5316BF"/>
    <w:rsid w:val="7DC57748"/>
    <w:rsid w:val="7DF10ED8"/>
    <w:rsid w:val="7DF804B8"/>
    <w:rsid w:val="7E1F1E1B"/>
    <w:rsid w:val="7E525E1A"/>
    <w:rsid w:val="7E65145F"/>
    <w:rsid w:val="7E9628C3"/>
    <w:rsid w:val="7EE73BAF"/>
    <w:rsid w:val="7F157EFA"/>
    <w:rsid w:val="7F2410BE"/>
    <w:rsid w:val="7FC06DB4"/>
    <w:rsid w:val="7FEB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5"/>
    <w:autoRedefine/>
    <w:qFormat/>
    <w:uiPriority w:val="1"/>
    <w:pPr>
      <w:adjustRightInd w:val="0"/>
      <w:snapToGrid w:val="0"/>
      <w:spacing w:afterLines="50" w:line="360" w:lineRule="auto"/>
      <w:outlineLvl w:val="0"/>
    </w:pPr>
    <w:rPr>
      <w:rFonts w:ascii="Arial" w:hAnsi="Arial" w:eastAsia="微软雅黑" w:cs="Arial"/>
      <w:b/>
      <w:bCs/>
      <w:kern w:val="0"/>
      <w:sz w:val="32"/>
      <w:szCs w:val="36"/>
    </w:rPr>
  </w:style>
  <w:style w:type="paragraph" w:styleId="3">
    <w:name w:val="heading 2"/>
    <w:basedOn w:val="1"/>
    <w:link w:val="26"/>
    <w:autoRedefine/>
    <w:qFormat/>
    <w:uiPriority w:val="1"/>
    <w:pPr>
      <w:adjustRightInd w:val="0"/>
      <w:snapToGrid w:val="0"/>
      <w:spacing w:line="360" w:lineRule="auto"/>
      <w:outlineLvl w:val="1"/>
    </w:pPr>
    <w:rPr>
      <w:rFonts w:ascii="Arial" w:hAnsi="Arial" w:eastAsia="微软雅黑" w:cs="Arial"/>
      <w:b/>
      <w:bCs/>
      <w:kern w:val="0"/>
    </w:rPr>
  </w:style>
  <w:style w:type="paragraph" w:styleId="4">
    <w:name w:val="heading 3"/>
    <w:basedOn w:val="1"/>
    <w:next w:val="1"/>
    <w:link w:val="27"/>
    <w:autoRedefine/>
    <w:unhideWhenUsed/>
    <w:qFormat/>
    <w:uiPriority w:val="0"/>
    <w:pPr>
      <w:keepNext/>
      <w:keepLines/>
      <w:adjustRightInd w:val="0"/>
      <w:snapToGrid w:val="0"/>
      <w:spacing w:line="360" w:lineRule="auto"/>
      <w:outlineLvl w:val="2"/>
    </w:pPr>
    <w:rPr>
      <w:rFonts w:ascii="Arial" w:hAnsi="Arial" w:eastAsia="微软雅黑" w:cs="Arial"/>
      <w:b/>
      <w:kern w:val="0"/>
      <w:sz w:val="28"/>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autoRedefine/>
    <w:qFormat/>
    <w:uiPriority w:val="99"/>
    <w:pPr>
      <w:jc w:val="left"/>
    </w:pPr>
  </w:style>
  <w:style w:type="paragraph" w:styleId="6">
    <w:name w:val="Body Text"/>
    <w:basedOn w:val="1"/>
    <w:link w:val="28"/>
    <w:autoRedefine/>
    <w:qFormat/>
    <w:uiPriority w:val="1"/>
    <w:pPr>
      <w:adjustRightInd w:val="0"/>
      <w:snapToGrid w:val="0"/>
      <w:spacing w:line="360" w:lineRule="auto"/>
      <w:ind w:firstLine="500" w:firstLineChars="200"/>
    </w:pPr>
    <w:rPr>
      <w:rFonts w:ascii="宋体" w:hAnsi="宋体" w:eastAsia="宋体"/>
      <w:kern w:val="0"/>
    </w:rPr>
  </w:style>
  <w:style w:type="paragraph" w:styleId="7">
    <w:name w:val="Balloon Text"/>
    <w:basedOn w:val="1"/>
    <w:link w:val="33"/>
    <w:autoRedefine/>
    <w:qFormat/>
    <w:uiPriority w:val="99"/>
    <w:rPr>
      <w:sz w:val="18"/>
      <w:szCs w:val="18"/>
    </w:rPr>
  </w:style>
  <w:style w:type="paragraph" w:styleId="8">
    <w:name w:val="footer"/>
    <w:basedOn w:val="1"/>
    <w:link w:val="23"/>
    <w:autoRedefine/>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0"/>
    <w:autoRedefine/>
    <w:qFormat/>
    <w:uiPriority w:val="99"/>
    <w:pPr>
      <w:snapToGrid w:val="0"/>
      <w:jc w:val="left"/>
    </w:pPr>
    <w:rPr>
      <w:sz w:val="18"/>
      <w:szCs w:val="18"/>
    </w:rPr>
  </w:style>
  <w:style w:type="paragraph" w:styleId="11">
    <w:name w:val="table of figures"/>
    <w:basedOn w:val="1"/>
    <w:next w:val="1"/>
    <w:qFormat/>
    <w:uiPriority w:val="0"/>
    <w:pPr>
      <w:jc w:val="left"/>
    </w:pPr>
    <w:rPr>
      <w:i/>
      <w:iCs/>
    </w:rPr>
  </w:style>
  <w:style w:type="paragraph" w:styleId="12">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annotation subject"/>
    <w:basedOn w:val="5"/>
    <w:next w:val="5"/>
    <w:link w:val="32"/>
    <w:autoRedefine/>
    <w:semiHidden/>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rPr>
  </w:style>
  <w:style w:type="character" w:styleId="18">
    <w:name w:val="line number"/>
    <w:basedOn w:val="16"/>
    <w:autoRedefine/>
    <w:semiHidden/>
    <w:unhideWhenUsed/>
    <w:qFormat/>
    <w:uiPriority w:val="99"/>
  </w:style>
  <w:style w:type="character" w:styleId="19">
    <w:name w:val="Hyperlink"/>
    <w:basedOn w:val="16"/>
    <w:semiHidden/>
    <w:unhideWhenUsed/>
    <w:qFormat/>
    <w:uiPriority w:val="99"/>
    <w:rPr>
      <w:color w:val="0000FF"/>
      <w:u w:val="single"/>
    </w:rPr>
  </w:style>
  <w:style w:type="character" w:styleId="20">
    <w:name w:val="annotation reference"/>
    <w:basedOn w:val="16"/>
    <w:autoRedefine/>
    <w:qFormat/>
    <w:uiPriority w:val="99"/>
    <w:rPr>
      <w:sz w:val="21"/>
      <w:szCs w:val="21"/>
    </w:rPr>
  </w:style>
  <w:style w:type="character" w:styleId="21">
    <w:name w:val="footnote reference"/>
    <w:qFormat/>
    <w:uiPriority w:val="99"/>
    <w:rPr>
      <w:vertAlign w:val="superscript"/>
    </w:rPr>
  </w:style>
  <w:style w:type="character" w:customStyle="1" w:styleId="22">
    <w:name w:val="页眉 字符"/>
    <w:basedOn w:val="16"/>
    <w:link w:val="9"/>
    <w:qFormat/>
    <w:uiPriority w:val="99"/>
    <w:rPr>
      <w:rFonts w:ascii="仿宋_GB2312" w:hAnsi="等线" w:eastAsia="仿宋_GB2312" w:cs="宋体"/>
      <w:kern w:val="2"/>
      <w:sz w:val="18"/>
      <w:szCs w:val="18"/>
    </w:rPr>
  </w:style>
  <w:style w:type="character" w:customStyle="1" w:styleId="23">
    <w:name w:val="页脚 字符"/>
    <w:basedOn w:val="16"/>
    <w:link w:val="8"/>
    <w:qFormat/>
    <w:uiPriority w:val="99"/>
    <w:rPr>
      <w:rFonts w:ascii="仿宋_GB2312" w:hAnsi="等线" w:eastAsia="仿宋_GB2312" w:cs="宋体"/>
      <w:kern w:val="2"/>
      <w:sz w:val="18"/>
      <w:szCs w:val="18"/>
    </w:rPr>
  </w:style>
  <w:style w:type="paragraph" w:customStyle="1" w:styleId="2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5">
    <w:name w:val="标题 1 字符"/>
    <w:basedOn w:val="16"/>
    <w:link w:val="2"/>
    <w:autoRedefine/>
    <w:qFormat/>
    <w:uiPriority w:val="1"/>
    <w:rPr>
      <w:rFonts w:ascii="Arial" w:hAnsi="Arial" w:eastAsia="微软雅黑" w:cs="Arial"/>
      <w:b/>
      <w:bCs/>
      <w:kern w:val="0"/>
      <w:sz w:val="32"/>
      <w:szCs w:val="36"/>
    </w:rPr>
  </w:style>
  <w:style w:type="character" w:customStyle="1" w:styleId="26">
    <w:name w:val="标题 2 字符"/>
    <w:basedOn w:val="16"/>
    <w:link w:val="3"/>
    <w:autoRedefine/>
    <w:qFormat/>
    <w:uiPriority w:val="1"/>
    <w:rPr>
      <w:rFonts w:ascii="Arial" w:hAnsi="Arial" w:eastAsia="微软雅黑" w:cs="Arial"/>
      <w:b/>
      <w:bCs/>
      <w:kern w:val="0"/>
      <w:sz w:val="30"/>
      <w:szCs w:val="30"/>
    </w:rPr>
  </w:style>
  <w:style w:type="character" w:customStyle="1" w:styleId="27">
    <w:name w:val="标题 3 字符"/>
    <w:basedOn w:val="16"/>
    <w:link w:val="4"/>
    <w:autoRedefine/>
    <w:qFormat/>
    <w:uiPriority w:val="0"/>
    <w:rPr>
      <w:rFonts w:ascii="Arial" w:hAnsi="Arial" w:eastAsia="微软雅黑" w:cs="Arial"/>
      <w:b/>
      <w:kern w:val="0"/>
      <w:sz w:val="28"/>
      <w:szCs w:val="21"/>
    </w:rPr>
  </w:style>
  <w:style w:type="character" w:customStyle="1" w:styleId="28">
    <w:name w:val="正文文本 字符"/>
    <w:basedOn w:val="16"/>
    <w:link w:val="6"/>
    <w:autoRedefine/>
    <w:qFormat/>
    <w:uiPriority w:val="1"/>
    <w:rPr>
      <w:rFonts w:ascii="宋体" w:hAnsi="宋体" w:eastAsia="宋体" w:cs="宋体"/>
      <w:kern w:val="0"/>
      <w:sz w:val="30"/>
      <w:szCs w:val="30"/>
    </w:rPr>
  </w:style>
  <w:style w:type="paragraph" w:styleId="29">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0">
    <w:name w:val="脚注文本 字符"/>
    <w:basedOn w:val="16"/>
    <w:link w:val="10"/>
    <w:autoRedefine/>
    <w:qFormat/>
    <w:uiPriority w:val="99"/>
    <w:rPr>
      <w:rFonts w:ascii="仿宋_GB2312" w:hAnsi="等线" w:eastAsia="仿宋_GB2312" w:cs="宋体"/>
      <w:kern w:val="2"/>
      <w:sz w:val="18"/>
      <w:szCs w:val="18"/>
    </w:rPr>
  </w:style>
  <w:style w:type="character" w:customStyle="1" w:styleId="31">
    <w:name w:val="批注文字 字符"/>
    <w:basedOn w:val="16"/>
    <w:link w:val="5"/>
    <w:qFormat/>
    <w:uiPriority w:val="99"/>
    <w:rPr>
      <w:rFonts w:ascii="仿宋_GB2312" w:hAnsi="等线" w:eastAsia="仿宋_GB2312" w:cs="宋体"/>
      <w:kern w:val="2"/>
      <w:sz w:val="30"/>
      <w:szCs w:val="30"/>
    </w:rPr>
  </w:style>
  <w:style w:type="character" w:customStyle="1" w:styleId="32">
    <w:name w:val="批注主题 字符"/>
    <w:basedOn w:val="31"/>
    <w:link w:val="13"/>
    <w:autoRedefine/>
    <w:semiHidden/>
    <w:qFormat/>
    <w:uiPriority w:val="99"/>
    <w:rPr>
      <w:rFonts w:ascii="仿宋_GB2312" w:hAnsi="等线" w:eastAsia="仿宋_GB2312" w:cs="宋体"/>
      <w:b/>
      <w:bCs/>
      <w:kern w:val="2"/>
      <w:sz w:val="30"/>
      <w:szCs w:val="30"/>
    </w:rPr>
  </w:style>
  <w:style w:type="character" w:customStyle="1" w:styleId="33">
    <w:name w:val="批注框文本 字符"/>
    <w:basedOn w:val="16"/>
    <w:link w:val="7"/>
    <w:autoRedefine/>
    <w:qFormat/>
    <w:uiPriority w:val="99"/>
    <w:rPr>
      <w:rFonts w:ascii="仿宋_GB2312" w:hAnsi="等线" w:eastAsia="仿宋_GB2312" w:cs="宋体"/>
      <w:kern w:val="2"/>
      <w:sz w:val="18"/>
      <w:szCs w:val="18"/>
    </w:rPr>
  </w:style>
  <w:style w:type="paragraph" w:customStyle="1" w:styleId="34">
    <w:name w:val="修订1"/>
    <w:autoRedefine/>
    <w:qFormat/>
    <w:uiPriority w:val="99"/>
    <w:rPr>
      <w:rFonts w:ascii="等线" w:hAnsi="等线" w:eastAsia="等线" w:cs="宋体"/>
      <w:kern w:val="2"/>
      <w:sz w:val="21"/>
      <w:szCs w:val="22"/>
      <w:lang w:val="en-US" w:eastAsia="zh-CN" w:bidi="ar-SA"/>
    </w:rPr>
  </w:style>
  <w:style w:type="paragraph" w:customStyle="1" w:styleId="35">
    <w:name w:val="样式3"/>
    <w:basedOn w:val="1"/>
    <w:qFormat/>
    <w:uiPriority w:val="0"/>
    <w:pPr>
      <w:spacing w:line="560" w:lineRule="exact"/>
      <w:jc w:val="center"/>
    </w:pPr>
    <w:rPr>
      <w:b/>
      <w:sz w:val="32"/>
      <w:szCs w:val="32"/>
    </w:rPr>
  </w:style>
  <w:style w:type="paragraph" w:customStyle="1" w:styleId="36">
    <w:name w:val="样式4"/>
    <w:basedOn w:val="37"/>
    <w:autoRedefine/>
    <w:qFormat/>
    <w:uiPriority w:val="0"/>
  </w:style>
  <w:style w:type="paragraph" w:customStyle="1" w:styleId="37">
    <w:name w:val="样式2"/>
    <w:basedOn w:val="38"/>
    <w:autoRedefine/>
    <w:qFormat/>
    <w:uiPriority w:val="0"/>
  </w:style>
  <w:style w:type="paragraph" w:customStyle="1" w:styleId="38">
    <w:name w:val="样式1"/>
    <w:basedOn w:val="1"/>
    <w:autoRedefine/>
    <w:qFormat/>
    <w:uiPriority w:val="0"/>
    <w:pPr>
      <w:spacing w:line="560" w:lineRule="exact"/>
    </w:pPr>
    <w:rPr>
      <w:b/>
    </w:rPr>
  </w:style>
  <w:style w:type="paragraph" w:customStyle="1" w:styleId="39">
    <w:name w:val="样式7"/>
    <w:basedOn w:val="1"/>
    <w:qFormat/>
    <w:uiPriority w:val="0"/>
    <w:rPr>
      <w:b/>
      <w:bCs/>
    </w:rPr>
  </w:style>
  <w:style w:type="paragraph" w:customStyle="1" w:styleId="40">
    <w:name w:val="样式5"/>
    <w:basedOn w:val="1"/>
    <w:qFormat/>
    <w:uiPriority w:val="0"/>
    <w:pPr>
      <w:jc w:val="center"/>
    </w:pPr>
  </w:style>
  <w:style w:type="paragraph" w:customStyle="1" w:styleId="41">
    <w:name w:val="样式6"/>
    <w:basedOn w:val="1"/>
    <w:qFormat/>
    <w:uiPriority w:val="0"/>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F1290-1235-487A-ACE3-00CCABD30054}">
  <ds:schemaRefs/>
</ds:datastoreItem>
</file>

<file path=docProps/app.xml><?xml version="1.0" encoding="utf-8"?>
<Properties xmlns="http://schemas.openxmlformats.org/officeDocument/2006/extended-properties" xmlns:vt="http://schemas.openxmlformats.org/officeDocument/2006/docPropsVTypes">
  <Template>Normal</Template>
  <Pages>9</Pages>
  <Words>4179</Words>
  <Characters>4322</Characters>
  <Lines>32</Lines>
  <Paragraphs>9</Paragraphs>
  <TotalTime>0</TotalTime>
  <ScaleCrop>false</ScaleCrop>
  <LinksUpToDate>false</LinksUpToDate>
  <CharactersWithSpaces>4352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2024-04-03T06:52:00Z</dcterms:created>
  <dc:creator>Dong Yanmeng</dc:creator>
  <cp:lastModifiedBy>WPS_1699707463</cp:lastModifiedBy>
  <cp:lastPrinted>2024-03-13T07:56:00Z</cp:lastPrinted>
  <dcterms:modified xsi:type="dcterms:W3CDTF">2024-06-13T06:49:46Z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EB0E9C31AB7244B6A0221B1FDCCF21D0_12</vt:lpwstr>
  </property>
</Properties>
</file>