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b w:val="0"/>
          <w:bCs/>
          <w:kern w:val="0"/>
          <w:sz w:val="30"/>
          <w:szCs w:val="30"/>
          <w:lang w:val="en-US" w:eastAsia="zh-CN" w:bidi="ar-SA"/>
        </w:rPr>
      </w:pPr>
      <w:r>
        <w:rPr>
          <w:rFonts w:hint="eastAsia" w:ascii="仿宋_GB2312" w:hAnsi="Times New Roman" w:eastAsia="仿宋_GB2312" w:cs="Times New Roman"/>
          <w:b w:val="0"/>
          <w:bCs/>
          <w:kern w:val="0"/>
          <w:sz w:val="30"/>
          <w:szCs w:val="30"/>
          <w:lang w:val="en-US" w:eastAsia="zh-CN" w:bidi="ar-SA"/>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Times New Roman"/>
          <w:b w:val="0"/>
          <w:bCs/>
          <w:kern w:val="0"/>
          <w:sz w:val="30"/>
          <w:szCs w:val="30"/>
          <w:lang w:val="en-US" w:eastAsia="zh-CN" w:bidi="ar-SA"/>
        </w:rPr>
      </w:pPr>
    </w:p>
    <w:p>
      <w:pPr>
        <w:keepNext w:val="0"/>
        <w:keepLines w:val="0"/>
        <w:pageBreakBefore w:val="0"/>
        <w:kinsoku/>
        <w:wordWrap/>
        <w:overflowPunct/>
        <w:topLinePunct w:val="0"/>
        <w:autoSpaceDE/>
        <w:autoSpaceDN/>
        <w:bidi w:val="0"/>
        <w:adjustRightInd/>
        <w:spacing w:line="560" w:lineRule="exact"/>
        <w:jc w:val="center"/>
        <w:rPr>
          <w:rFonts w:hint="default" w:eastAsia="宋体"/>
          <w:b/>
          <w:sz w:val="36"/>
          <w:szCs w:val="36"/>
          <w:lang w:val="en-US" w:eastAsia="zh-CN"/>
        </w:rPr>
      </w:pPr>
      <w:r>
        <w:rPr>
          <w:rFonts w:hint="eastAsia"/>
          <w:b/>
          <w:sz w:val="36"/>
          <w:szCs w:val="36"/>
        </w:rPr>
        <w:t>资产支持商业票据</w:t>
      </w:r>
      <w:r>
        <w:rPr>
          <w:rFonts w:hint="eastAsia"/>
          <w:b/>
          <w:sz w:val="36"/>
          <w:szCs w:val="36"/>
          <w:lang w:val="en-US" w:eastAsia="zh-CN"/>
        </w:rPr>
        <w:t>主定义表</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baseline"/>
        <w:rPr>
          <w:rFonts w:ascii="仿宋_GB2312"/>
          <w:b/>
          <w:kern w:val="0"/>
          <w:sz w:val="36"/>
          <w:szCs w:val="36"/>
        </w:rPr>
      </w:pPr>
      <w:r>
        <w:rPr>
          <w:rFonts w:hint="eastAsia"/>
          <w:b/>
          <w:sz w:val="36"/>
          <w:szCs w:val="36"/>
        </w:rPr>
        <w:t>（参考文本）</w:t>
      </w:r>
    </w:p>
    <w:p>
      <w:pPr>
        <w:keepNext w:val="0"/>
        <w:keepLines w:val="0"/>
        <w:pageBreakBefore w:val="0"/>
        <w:widowControl/>
        <w:kinsoku/>
        <w:wordWrap/>
        <w:overflowPunct/>
        <w:topLinePunct w:val="0"/>
        <w:autoSpaceDE/>
        <w:autoSpaceDN/>
        <w:bidi w:val="0"/>
        <w:adjustRightInd/>
        <w:spacing w:line="560" w:lineRule="exact"/>
        <w:jc w:val="center"/>
        <w:rPr>
          <w:rFonts w:hint="eastAsia" w:ascii="仿宋_GB2312" w:eastAsia="仿宋_GB2312"/>
          <w:b/>
          <w:kern w:val="0"/>
          <w:sz w:val="30"/>
          <w:szCs w:val="30"/>
        </w:rPr>
      </w:pPr>
      <w:r>
        <w:rPr>
          <w:rFonts w:hint="eastAsia" w:ascii="仿宋_GB2312" w:eastAsia="仿宋_GB2312"/>
          <w:b/>
          <w:kern w:val="0"/>
          <w:sz w:val="30"/>
          <w:szCs w:val="30"/>
        </w:rPr>
        <w:t>（2021版）</w:t>
      </w: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jc w:val="center"/>
        <w:rPr>
          <w:rFonts w:hint="eastAsia" w:ascii="仿宋_GB2312" w:eastAsia="仿宋_GB2312"/>
          <w:b w:val="0"/>
          <w:bCs/>
          <w:kern w:val="0"/>
          <w:sz w:val="28"/>
          <w:szCs w:val="28"/>
          <w:lang w:val="en-US" w:eastAsia="zh-CN"/>
        </w:rPr>
      </w:pP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jc w:val="center"/>
        <w:rPr>
          <w:rFonts w:hint="eastAsia" w:ascii="仿宋_GB2312" w:eastAsia="仿宋_GB2312"/>
          <w:b/>
          <w:bCs w:val="0"/>
          <w:kern w:val="0"/>
          <w:sz w:val="30"/>
          <w:szCs w:val="30"/>
          <w:lang w:val="en-US" w:eastAsia="zh-CN"/>
        </w:rPr>
      </w:pPr>
      <w:r>
        <w:rPr>
          <w:rFonts w:hint="eastAsia" w:ascii="仿宋_GB2312" w:eastAsia="仿宋_GB2312"/>
          <w:b/>
          <w:bCs w:val="0"/>
          <w:kern w:val="0"/>
          <w:sz w:val="30"/>
          <w:szCs w:val="30"/>
          <w:lang w:val="en-US" w:eastAsia="zh-CN"/>
        </w:rPr>
        <w:t>说明</w:t>
      </w:r>
    </w:p>
    <w:p>
      <w:pPr>
        <w:pStyle w:val="2"/>
        <w:keepNext w:val="0"/>
        <w:keepLines w:val="0"/>
        <w:pageBreakBefore w:val="0"/>
        <w:kinsoku/>
        <w:wordWrap/>
        <w:overflowPunct/>
        <w:topLinePunct w:val="0"/>
        <w:autoSpaceDE/>
        <w:autoSpaceDN/>
        <w:bidi w:val="0"/>
        <w:adjustRightInd/>
        <w:spacing w:after="0" w:line="560" w:lineRule="exact"/>
        <w:ind w:left="0" w:leftChars="0" w:firstLine="600" w:firstLineChars="200"/>
        <w:jc w:val="both"/>
        <w:rPr>
          <w:rFonts w:hint="eastAsia" w:ascii="仿宋_GB2312" w:eastAsia="仿宋_GB2312"/>
          <w:b w:val="0"/>
          <w:bCs/>
          <w:kern w:val="0"/>
          <w:sz w:val="30"/>
          <w:szCs w:val="30"/>
          <w:lang w:val="en-US" w:eastAsia="zh-CN"/>
        </w:rPr>
      </w:pPr>
      <w:r>
        <w:rPr>
          <w:rFonts w:hint="eastAsia" w:ascii="仿宋_GB2312" w:eastAsia="仿宋_GB2312"/>
          <w:b w:val="0"/>
          <w:bCs/>
          <w:kern w:val="0"/>
          <w:sz w:val="30"/>
          <w:szCs w:val="30"/>
          <w:lang w:val="en-US" w:eastAsia="zh-CN"/>
        </w:rPr>
        <w:t>1、</w:t>
      </w:r>
      <w:r>
        <w:rPr>
          <w:rFonts w:hint="default" w:ascii="仿宋_GB2312" w:eastAsia="仿宋_GB2312"/>
          <w:b w:val="0"/>
          <w:bCs/>
          <w:kern w:val="0"/>
          <w:sz w:val="30"/>
          <w:szCs w:val="30"/>
          <w:lang w:val="en-US" w:eastAsia="zh-CN"/>
        </w:rPr>
        <w:t>为</w:t>
      </w:r>
      <w:r>
        <w:rPr>
          <w:rFonts w:hint="eastAsia" w:ascii="仿宋_GB2312" w:eastAsia="仿宋_GB2312"/>
          <w:b w:val="0"/>
          <w:bCs/>
          <w:kern w:val="0"/>
          <w:sz w:val="30"/>
          <w:szCs w:val="30"/>
          <w:lang w:val="en-US" w:eastAsia="zh-CN"/>
        </w:rPr>
        <w:t>规范和便利市场机构开展</w:t>
      </w:r>
      <w:r>
        <w:rPr>
          <w:rFonts w:hint="default" w:ascii="仿宋_GB2312" w:eastAsia="仿宋_GB2312"/>
          <w:b w:val="0"/>
          <w:bCs/>
          <w:kern w:val="0"/>
          <w:sz w:val="30"/>
          <w:szCs w:val="30"/>
          <w:lang w:val="en-US" w:eastAsia="zh-CN"/>
        </w:rPr>
        <w:t>资产支持商业票据（以下简称“ABCP”）</w:t>
      </w:r>
      <w:r>
        <w:rPr>
          <w:rFonts w:hint="eastAsia" w:ascii="仿宋_GB2312" w:eastAsia="仿宋_GB2312"/>
          <w:b w:val="0"/>
          <w:bCs/>
          <w:kern w:val="0"/>
          <w:sz w:val="30"/>
          <w:szCs w:val="30"/>
          <w:lang w:val="en-US" w:eastAsia="zh-CN"/>
        </w:rPr>
        <w:t>业务</w:t>
      </w:r>
      <w:r>
        <w:rPr>
          <w:rFonts w:hint="default" w:ascii="仿宋_GB2312" w:eastAsia="仿宋_GB2312"/>
          <w:b w:val="0"/>
          <w:bCs/>
          <w:kern w:val="0"/>
          <w:sz w:val="30"/>
          <w:szCs w:val="30"/>
          <w:lang w:val="en-US" w:eastAsia="zh-CN"/>
        </w:rPr>
        <w:t>，维护市场各方合法权益，推动</w:t>
      </w:r>
      <w:r>
        <w:rPr>
          <w:rFonts w:hint="eastAsia" w:ascii="仿宋_GB2312" w:eastAsia="仿宋_GB2312"/>
          <w:b w:val="0"/>
          <w:bCs/>
          <w:kern w:val="0"/>
          <w:sz w:val="30"/>
          <w:szCs w:val="30"/>
          <w:lang w:val="en-US" w:eastAsia="zh-CN"/>
        </w:rPr>
        <w:t>ABCP市场</w:t>
      </w:r>
      <w:r>
        <w:rPr>
          <w:rFonts w:hint="default" w:ascii="仿宋_GB2312" w:eastAsia="仿宋_GB2312"/>
          <w:b w:val="0"/>
          <w:bCs/>
          <w:kern w:val="0"/>
          <w:sz w:val="30"/>
          <w:szCs w:val="30"/>
          <w:lang w:val="en-US" w:eastAsia="zh-CN"/>
        </w:rPr>
        <w:t>高质量发展</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中国银行间市场交易商协会（以下简称“交易商协会”）根据《中华人民共和国信托法》、《中华人民共和国民法典》</w:t>
      </w:r>
      <w:r>
        <w:rPr>
          <w:rFonts w:hint="eastAsia" w:ascii="仿宋_GB2312" w:eastAsia="仿宋_GB2312"/>
          <w:b w:val="0"/>
          <w:bCs/>
          <w:kern w:val="0"/>
          <w:sz w:val="30"/>
          <w:szCs w:val="30"/>
          <w:lang w:val="en-US" w:eastAsia="zh-CN"/>
        </w:rPr>
        <w:t>、</w:t>
      </w:r>
      <w:r>
        <w:rPr>
          <w:rFonts w:hint="default" w:ascii="仿宋_GB2312" w:eastAsia="仿宋_GB2312"/>
          <w:b w:val="0"/>
          <w:bCs/>
          <w:kern w:val="0"/>
          <w:sz w:val="30"/>
          <w:szCs w:val="30"/>
          <w:lang w:val="en-US" w:eastAsia="zh-CN"/>
        </w:rPr>
        <w:t>《非金融企业资产支持票据指引》</w:t>
      </w:r>
      <w:r>
        <w:rPr>
          <w:rFonts w:hint="eastAsia" w:ascii="仿宋_GB2312" w:eastAsia="仿宋_GB2312"/>
          <w:b w:val="0"/>
          <w:bCs/>
          <w:kern w:val="0"/>
          <w:sz w:val="30"/>
          <w:szCs w:val="30"/>
          <w:lang w:val="en-US" w:eastAsia="zh-CN"/>
        </w:rPr>
        <w:t>等</w:t>
      </w:r>
      <w:r>
        <w:rPr>
          <w:rFonts w:hint="default" w:ascii="仿宋_GB2312" w:eastAsia="仿宋_GB2312"/>
          <w:b w:val="0"/>
          <w:bCs/>
          <w:kern w:val="0"/>
          <w:sz w:val="30"/>
          <w:szCs w:val="30"/>
          <w:lang w:val="en-US" w:eastAsia="zh-CN"/>
        </w:rPr>
        <w:t>有关法律法规和</w:t>
      </w:r>
      <w:r>
        <w:rPr>
          <w:rFonts w:hint="eastAsia" w:ascii="仿宋_GB2312" w:eastAsia="仿宋_GB2312"/>
          <w:b w:val="0"/>
          <w:bCs/>
          <w:kern w:val="0"/>
          <w:sz w:val="30"/>
          <w:szCs w:val="30"/>
          <w:lang w:val="en-US" w:eastAsia="zh-CN"/>
        </w:rPr>
        <w:t>自律规则，制定本参考文本。</w:t>
      </w:r>
    </w:p>
    <w:p>
      <w:pPr>
        <w:pStyle w:val="2"/>
        <w:keepNext w:val="0"/>
        <w:keepLines w:val="0"/>
        <w:pageBreakBefore w:val="0"/>
        <w:kinsoku/>
        <w:wordWrap/>
        <w:overflowPunct/>
        <w:topLinePunct w:val="0"/>
        <w:autoSpaceDE/>
        <w:autoSpaceDN/>
        <w:bidi w:val="0"/>
        <w:adjustRightInd/>
        <w:spacing w:after="0" w:line="560" w:lineRule="exact"/>
        <w:ind w:left="0" w:leftChars="0" w:firstLine="600" w:firstLineChars="200"/>
        <w:jc w:val="both"/>
        <w:rPr>
          <w:rFonts w:hint="default" w:ascii="仿宋_GB2312" w:eastAsia="仿宋_GB2312"/>
          <w:b w:val="0"/>
          <w:bCs/>
          <w:kern w:val="0"/>
          <w:sz w:val="30"/>
          <w:szCs w:val="30"/>
          <w:lang w:val="en-US" w:eastAsia="zh-CN"/>
        </w:rPr>
      </w:pPr>
      <w:r>
        <w:rPr>
          <w:rFonts w:hint="eastAsia" w:ascii="仿宋_GB2312" w:eastAsia="仿宋_GB2312"/>
          <w:b w:val="0"/>
          <w:bCs/>
          <w:kern w:val="0"/>
          <w:sz w:val="30"/>
          <w:szCs w:val="30"/>
          <w:lang w:val="en-US" w:eastAsia="zh-CN"/>
        </w:rPr>
        <w:t>2、参考文本遵循自主自愿使用原则，并非交易商协会要求市场机构在资产支持商业票据业务中必须使用的文本，仅供市场机构参考。</w:t>
      </w:r>
    </w:p>
    <w:p>
      <w:pPr>
        <w:rPr>
          <w:rFonts w:hint="default" w:ascii="仿宋_GB2312" w:eastAsia="仿宋_GB2312"/>
          <w:b w:val="0"/>
          <w:bCs/>
          <w:kern w:val="0"/>
          <w:sz w:val="30"/>
          <w:szCs w:val="30"/>
          <w:lang w:val="en-US" w:eastAsia="zh-CN"/>
        </w:rPr>
      </w:pPr>
      <w:r>
        <w:rPr>
          <w:rFonts w:hint="default" w:ascii="仿宋_GB2312" w:eastAsia="仿宋_GB2312"/>
          <w:b w:val="0"/>
          <w:bCs/>
          <w:kern w:val="0"/>
          <w:sz w:val="30"/>
          <w:szCs w:val="30"/>
          <w:lang w:val="en-US" w:eastAsia="zh-CN"/>
        </w:rPr>
        <w:br w:type="page"/>
      </w:r>
    </w:p>
    <w:p>
      <w:pPr>
        <w:pStyle w:val="26"/>
        <w:spacing w:after="0" w:line="380" w:lineRule="atLeast"/>
        <w:jc w:val="both"/>
        <w:rPr>
          <w:rFonts w:eastAsia="楷体_GB2312"/>
          <w:u w:val="single"/>
          <w:lang w:val="en-US" w:eastAsia="zh-CN"/>
        </w:rPr>
      </w:pPr>
      <w:r>
        <w:rPr>
          <w:rFonts w:hint="eastAsia" w:ascii="楷体_GB2312" w:hAnsi="楷体_GB2312" w:eastAsia="楷体_GB2312" w:cs="楷体_GB2312"/>
          <w:i/>
          <w:color w:val="FF0000"/>
          <w:u w:val="single"/>
          <w:lang w:eastAsia="zh-CN"/>
        </w:rPr>
        <w:t>注：1、本参考文本遵循自主自愿使用原则，仅供市场机构参考</w:t>
      </w:r>
      <w:r>
        <w:rPr>
          <w:rFonts w:hint="eastAsia" w:ascii="楷体_GB2312" w:hAnsi="楷体_GB2312" w:eastAsia="楷体_GB2312" w:cs="楷体_GB2312"/>
          <w:i/>
          <w:color w:val="FF0000"/>
          <w:u w:val="single"/>
          <w:lang w:val="en-US" w:eastAsia="zh-CN"/>
        </w:rPr>
        <w:t>。2、</w:t>
      </w:r>
      <w:r>
        <w:rPr>
          <w:rFonts w:hint="eastAsia" w:eastAsia="楷体_GB2312"/>
          <w:b/>
          <w:i/>
          <w:color w:val="FF0000"/>
          <w:sz w:val="24"/>
          <w:u w:val="single"/>
          <w:lang w:val="en-US" w:eastAsia="zh-CN"/>
        </w:rPr>
        <w:t>本</w:t>
      </w:r>
      <w:r>
        <w:rPr>
          <w:rFonts w:hint="eastAsia" w:ascii="楷体_GB2312" w:hAnsi="楷体_GB2312" w:eastAsia="楷体_GB2312" w:cs="楷体_GB2312"/>
          <w:i/>
          <w:color w:val="FF0000"/>
          <w:u w:val="single"/>
          <w:lang w:eastAsia="zh-CN"/>
        </w:rPr>
        <w:t>定义表版本适用于资产支持商业票据（</w:t>
      </w:r>
      <w:r>
        <w:rPr>
          <w:rFonts w:hint="eastAsia" w:ascii="楷体_GB2312" w:hAnsi="楷体_GB2312" w:eastAsia="楷体_GB2312" w:cs="楷体_GB2312"/>
          <w:i/>
          <w:color w:val="FF0000"/>
          <w:u w:val="single"/>
          <w:lang w:val="en-US" w:eastAsia="zh-CN"/>
        </w:rPr>
        <w:t>未附息债权类资产</w:t>
      </w:r>
      <w:r>
        <w:rPr>
          <w:rFonts w:hint="eastAsia" w:ascii="楷体_GB2312" w:hAnsi="楷体_GB2312" w:eastAsia="楷体_GB2312" w:cs="楷体_GB2312"/>
          <w:i/>
          <w:color w:val="FF0000"/>
          <w:u w:val="single"/>
          <w:lang w:eastAsia="zh-CN"/>
        </w:rPr>
        <w:t>）项目。定义表中不适用的定义和条款</w:t>
      </w:r>
      <w:r>
        <w:rPr>
          <w:rFonts w:hint="eastAsia" w:ascii="楷体_GB2312" w:hAnsi="楷体_GB2312" w:eastAsia="楷体_GB2312" w:cs="楷体_GB2312"/>
          <w:i/>
          <w:color w:val="FF0000"/>
          <w:u w:val="single"/>
          <w:lang w:val="en-US" w:eastAsia="zh-CN"/>
        </w:rPr>
        <w:t>应</w:t>
      </w:r>
      <w:r>
        <w:rPr>
          <w:rFonts w:hint="eastAsia" w:ascii="楷体_GB2312" w:hAnsi="楷体_GB2312" w:eastAsia="楷体_GB2312" w:cs="楷体_GB2312"/>
          <w:i/>
          <w:color w:val="FF0000"/>
          <w:u w:val="single"/>
          <w:lang w:eastAsia="zh-CN"/>
        </w:rPr>
        <w:t>根据实际情况调整。</w:t>
      </w:r>
    </w:p>
    <w:p>
      <w:pPr>
        <w:pStyle w:val="26"/>
        <w:spacing w:after="0" w:line="380" w:lineRule="atLeast"/>
        <w:jc w:val="right"/>
        <w:rPr>
          <w:rFonts w:eastAsia="楷体_GB2312"/>
          <w:lang w:val="en-US" w:eastAsia="zh-CN"/>
        </w:rPr>
      </w:pPr>
      <w:r>
        <w:rPr>
          <w:rFonts w:eastAsia="楷体_GB2312"/>
          <w:lang w:val="en-US" w:eastAsia="zh-CN"/>
        </w:rPr>
        <w:t>合同编号：【】</w:t>
      </w:r>
    </w:p>
    <w:p>
      <w:pPr>
        <w:pStyle w:val="26"/>
        <w:spacing w:after="0" w:line="380" w:lineRule="atLeast"/>
        <w:jc w:val="center"/>
        <w:rPr>
          <w:rFonts w:eastAsia="楷体_GB2312"/>
          <w:i/>
          <w:color w:val="FF0000"/>
          <w:lang w:eastAsia="zh-CN"/>
        </w:rPr>
      </w:pPr>
    </w:p>
    <w:p>
      <w:pPr>
        <w:pStyle w:val="26"/>
        <w:spacing w:after="0" w:line="380" w:lineRule="atLeast"/>
        <w:jc w:val="center"/>
        <w:rPr>
          <w:rFonts w:eastAsia="楷体_GB2312"/>
          <w:lang w:val="en-US" w:eastAsia="zh-CN"/>
        </w:rPr>
      </w:pPr>
    </w:p>
    <w:p>
      <w:pPr>
        <w:pStyle w:val="26"/>
        <w:spacing w:after="0" w:line="380" w:lineRule="atLeast"/>
        <w:jc w:val="center"/>
        <w:rPr>
          <w:rFonts w:eastAsia="楷体_GB2312"/>
          <w:lang w:val="en-US" w:eastAsia="zh-CN"/>
        </w:rPr>
      </w:pPr>
    </w:p>
    <w:p>
      <w:pPr>
        <w:pStyle w:val="26"/>
        <w:tabs>
          <w:tab w:val="clear" w:pos="8280"/>
        </w:tabs>
        <w:spacing w:after="0" w:line="380" w:lineRule="atLeast"/>
        <w:jc w:val="center"/>
        <w:rPr>
          <w:rFonts w:eastAsia="楷体_GB2312"/>
          <w:lang w:val="en-US" w:eastAsia="zh-CN"/>
        </w:rPr>
      </w:pPr>
    </w:p>
    <w:p>
      <w:pPr>
        <w:pStyle w:val="26"/>
        <w:spacing w:after="0" w:line="380" w:lineRule="atLeast"/>
        <w:jc w:val="center"/>
        <w:rPr>
          <w:rFonts w:eastAsia="楷体_GB2312"/>
          <w:b w:val="0"/>
          <w:sz w:val="36"/>
          <w:szCs w:val="36"/>
          <w:lang w:eastAsia="zh-CN"/>
        </w:rPr>
      </w:pPr>
      <w:r>
        <w:rPr>
          <w:rFonts w:eastAsia="楷体_GB2312"/>
          <w:sz w:val="36"/>
          <w:szCs w:val="36"/>
          <w:lang w:val="en-US" w:eastAsia="zh-CN"/>
        </w:rPr>
        <w:t>【发起机构全称】</w:t>
      </w:r>
    </w:p>
    <w:p>
      <w:pPr>
        <w:pStyle w:val="26"/>
        <w:spacing w:after="0" w:line="380" w:lineRule="atLeast"/>
        <w:jc w:val="center"/>
        <w:rPr>
          <w:rFonts w:eastAsia="楷体_GB2312"/>
          <w:bCs/>
          <w:lang w:eastAsia="zh-CN"/>
        </w:rPr>
      </w:pPr>
      <w:r>
        <w:rPr>
          <w:rFonts w:eastAsia="楷体_GB2312"/>
          <w:bCs/>
          <w:lang w:eastAsia="zh-CN"/>
        </w:rPr>
        <w:t>（作为委托人、发起机构和资产服务机构）</w:t>
      </w:r>
    </w:p>
    <w:p>
      <w:pPr>
        <w:pStyle w:val="26"/>
        <w:spacing w:after="0" w:line="380" w:lineRule="atLeast"/>
        <w:jc w:val="center"/>
        <w:rPr>
          <w:rFonts w:eastAsia="楷体_GB2312"/>
          <w:bCs/>
          <w:lang w:eastAsia="zh-CN"/>
        </w:rPr>
      </w:pPr>
    </w:p>
    <w:p>
      <w:pPr>
        <w:spacing w:line="380" w:lineRule="atLeast"/>
        <w:jc w:val="center"/>
        <w:rPr>
          <w:rFonts w:eastAsia="楷体_GB2312"/>
          <w:bCs/>
        </w:rPr>
      </w:pPr>
      <w:r>
        <w:rPr>
          <w:rFonts w:eastAsia="楷体_GB2312"/>
          <w:b/>
          <w:sz w:val="28"/>
          <w:szCs w:val="28"/>
        </w:rPr>
        <w:t>与</w:t>
      </w:r>
    </w:p>
    <w:p>
      <w:pPr>
        <w:pStyle w:val="26"/>
        <w:spacing w:after="0" w:line="380" w:lineRule="atLeast"/>
        <w:jc w:val="center"/>
        <w:rPr>
          <w:rFonts w:eastAsia="楷体_GB2312"/>
          <w:lang w:eastAsia="zh-CN"/>
        </w:rPr>
      </w:pPr>
    </w:p>
    <w:p>
      <w:pPr>
        <w:pStyle w:val="26"/>
        <w:spacing w:after="0" w:line="380" w:lineRule="atLeast"/>
        <w:jc w:val="center"/>
        <w:rPr>
          <w:rFonts w:eastAsia="楷体_GB2312"/>
          <w:sz w:val="36"/>
          <w:szCs w:val="36"/>
          <w:lang w:val="en-US" w:eastAsia="zh-CN"/>
        </w:rPr>
      </w:pPr>
      <w:r>
        <w:rPr>
          <w:rFonts w:eastAsia="楷体_GB2312"/>
          <w:sz w:val="36"/>
          <w:szCs w:val="36"/>
          <w:lang w:val="en-US" w:eastAsia="zh-CN"/>
        </w:rPr>
        <w:t>【受托机构全称】</w:t>
      </w:r>
    </w:p>
    <w:p>
      <w:pPr>
        <w:pStyle w:val="26"/>
        <w:spacing w:after="0" w:line="380" w:lineRule="atLeast"/>
        <w:jc w:val="center"/>
        <w:rPr>
          <w:rFonts w:eastAsia="楷体_GB2312"/>
          <w:b w:val="0"/>
          <w:caps w:val="0"/>
          <w:lang w:eastAsia="zh-CN"/>
        </w:rPr>
      </w:pPr>
      <w:r>
        <w:rPr>
          <w:rFonts w:eastAsia="楷体_GB2312"/>
          <w:lang w:eastAsia="zh-CN"/>
        </w:rPr>
        <w:t>（作为受托人、受托机构和发行载体管理机构）</w:t>
      </w:r>
    </w:p>
    <w:p>
      <w:pPr>
        <w:pStyle w:val="26"/>
        <w:spacing w:after="0" w:line="380" w:lineRule="atLeast"/>
        <w:jc w:val="center"/>
        <w:rPr>
          <w:rFonts w:eastAsia="楷体_GB2312"/>
          <w:b w:val="0"/>
          <w:lang w:eastAsia="zh-CN"/>
        </w:rPr>
      </w:pPr>
    </w:p>
    <w:p>
      <w:pPr>
        <w:pStyle w:val="26"/>
        <w:spacing w:after="0" w:line="380" w:lineRule="atLeast"/>
        <w:jc w:val="center"/>
        <w:rPr>
          <w:rFonts w:eastAsia="楷体_GB2312"/>
          <w:b w:val="0"/>
          <w:lang w:eastAsia="zh-CN"/>
        </w:rPr>
      </w:pPr>
    </w:p>
    <w:p>
      <w:pPr>
        <w:pStyle w:val="26"/>
        <w:spacing w:after="0" w:line="380" w:lineRule="atLeast"/>
        <w:jc w:val="center"/>
        <w:rPr>
          <w:rFonts w:eastAsia="楷体_GB2312"/>
          <w:b w:val="0"/>
          <w:lang w:eastAsia="zh-CN"/>
        </w:rPr>
      </w:pPr>
    </w:p>
    <w:p>
      <w:pPr>
        <w:pStyle w:val="5"/>
        <w:spacing w:after="0" w:line="380" w:lineRule="atLeast"/>
        <w:ind w:left="-1" w:leftChars="-1" w:right="26" w:hanging="1"/>
        <w:jc w:val="center"/>
        <w:rPr>
          <w:rFonts w:eastAsia="楷体_GB2312"/>
          <w:b/>
          <w:bCs/>
          <w:sz w:val="36"/>
          <w:szCs w:val="36"/>
        </w:rPr>
      </w:pPr>
      <w:r>
        <w:rPr>
          <w:rFonts w:eastAsia="楷体_GB2312"/>
          <w:b/>
          <w:bCs/>
          <w:sz w:val="36"/>
          <w:szCs w:val="36"/>
        </w:rPr>
        <w:t>【信托名称】</w:t>
      </w:r>
    </w:p>
    <w:p>
      <w:pPr>
        <w:pStyle w:val="26"/>
        <w:spacing w:after="0" w:line="380" w:lineRule="atLeast"/>
        <w:jc w:val="center"/>
        <w:rPr>
          <w:rFonts w:eastAsia="楷体_GB2312"/>
          <w:sz w:val="36"/>
          <w:szCs w:val="36"/>
          <w:lang w:eastAsia="zh-CN"/>
        </w:rPr>
      </w:pPr>
      <w:r>
        <w:rPr>
          <w:rFonts w:eastAsia="楷体_GB2312"/>
          <w:sz w:val="36"/>
          <w:szCs w:val="36"/>
          <w:lang w:eastAsia="zh-CN"/>
        </w:rPr>
        <w:t>主定义表</w:t>
      </w:r>
    </w:p>
    <w:p>
      <w:pPr>
        <w:spacing w:line="380" w:lineRule="atLeast"/>
        <w:jc w:val="center"/>
        <w:rPr>
          <w:rFonts w:eastAsia="楷体_GB2312"/>
          <w:b/>
          <w:bCs/>
          <w:sz w:val="28"/>
          <w:szCs w:val="28"/>
        </w:rPr>
      </w:pPr>
    </w:p>
    <w:p>
      <w:pPr>
        <w:spacing w:line="380" w:lineRule="atLeast"/>
        <w:jc w:val="center"/>
        <w:rPr>
          <w:rFonts w:eastAsia="楷体_GB2312"/>
          <w:b/>
          <w:bCs/>
          <w:sz w:val="28"/>
          <w:szCs w:val="28"/>
        </w:rPr>
      </w:pPr>
    </w:p>
    <w:p>
      <w:pPr>
        <w:spacing w:line="380" w:lineRule="atLeast"/>
        <w:jc w:val="center"/>
        <w:rPr>
          <w:rFonts w:eastAsia="楷体_GB2312"/>
          <w:b/>
          <w:bCs/>
          <w:sz w:val="28"/>
          <w:szCs w:val="28"/>
        </w:rPr>
      </w:pPr>
      <w:r>
        <w:rPr>
          <w:rFonts w:eastAsia="楷体_GB2312"/>
          <w:b/>
          <w:bCs/>
          <w:sz w:val="28"/>
          <w:szCs w:val="28"/>
        </w:rPr>
        <w:t>中国</w:t>
      </w:r>
      <w:r>
        <w:rPr>
          <w:rFonts w:eastAsia="楷体_GB2312"/>
          <w:b/>
          <w:bCs/>
          <w:sz w:val="28"/>
          <w:szCs w:val="28"/>
        </w:rPr>
        <w:tab/>
      </w:r>
      <w:r>
        <w:rPr>
          <w:rFonts w:eastAsia="楷体_GB2312"/>
          <w:b/>
          <w:bCs/>
          <w:sz w:val="28"/>
          <w:szCs w:val="28"/>
        </w:rPr>
        <w:t>【】</w:t>
      </w:r>
    </w:p>
    <w:p>
      <w:pPr>
        <w:spacing w:line="380" w:lineRule="atLeast"/>
        <w:jc w:val="center"/>
        <w:rPr>
          <w:rFonts w:eastAsia="楷体_GB2312"/>
          <w:b/>
          <w:sz w:val="28"/>
          <w:szCs w:val="28"/>
        </w:rPr>
      </w:pPr>
      <w:bookmarkStart w:id="0" w:name="_DV_M14"/>
      <w:bookmarkEnd w:id="0"/>
      <w:r>
        <w:rPr>
          <w:rFonts w:eastAsia="楷体_GB2312"/>
          <w:b/>
          <w:sz w:val="28"/>
          <w:szCs w:val="28"/>
        </w:rPr>
        <w:t>【】年【】月</w:t>
      </w:r>
    </w:p>
    <w:p>
      <w:pPr>
        <w:spacing w:line="380" w:lineRule="atLeast"/>
        <w:jc w:val="center"/>
        <w:rPr>
          <w:rFonts w:eastAsia="楷体_GB2312"/>
        </w:rPr>
      </w:pPr>
    </w:p>
    <w:p>
      <w:pPr>
        <w:widowControl/>
        <w:jc w:val="left"/>
        <w:rPr>
          <w:rFonts w:eastAsia="楷体_GB2312"/>
          <w:b/>
          <w:sz w:val="28"/>
          <w:szCs w:val="28"/>
        </w:rPr>
      </w:pPr>
      <w:r>
        <w:rPr>
          <w:rFonts w:eastAsia="楷体_GB2312"/>
          <w:b/>
          <w:sz w:val="28"/>
          <w:szCs w:val="28"/>
        </w:rPr>
        <w:br w:type="page"/>
      </w:r>
    </w:p>
    <w:p>
      <w:pPr>
        <w:spacing w:line="400" w:lineRule="atLeast"/>
        <w:jc w:val="center"/>
        <w:rPr>
          <w:rFonts w:eastAsia="楷体_GB2312"/>
          <w:b/>
          <w:sz w:val="28"/>
          <w:szCs w:val="28"/>
        </w:rPr>
      </w:pPr>
      <w:r>
        <w:rPr>
          <w:rFonts w:eastAsia="楷体_GB2312"/>
          <w:b/>
          <w:sz w:val="28"/>
          <w:szCs w:val="28"/>
        </w:rPr>
        <w:t>目</w:t>
      </w:r>
      <w:r>
        <w:rPr>
          <w:rFonts w:eastAsia="楷体_GB2312"/>
          <w:b/>
          <w:sz w:val="28"/>
          <w:szCs w:val="28"/>
        </w:rPr>
        <w:tab/>
      </w:r>
      <w:r>
        <w:rPr>
          <w:rFonts w:eastAsia="楷体_GB2312"/>
          <w:b/>
          <w:sz w:val="28"/>
          <w:szCs w:val="28"/>
        </w:rPr>
        <w:t>录</w:t>
      </w:r>
    </w:p>
    <w:p>
      <w:pPr>
        <w:pStyle w:val="9"/>
        <w:spacing w:after="78"/>
        <w:rPr>
          <w:rFonts w:ascii="Times New Roman" w:eastAsia="楷体_GB2312"/>
          <w:b/>
          <w:bCs/>
          <w:szCs w:val="22"/>
        </w:rPr>
      </w:pPr>
      <w:r>
        <w:rPr>
          <w:rStyle w:val="16"/>
          <w:b/>
          <w:bCs/>
        </w:rPr>
        <w:fldChar w:fldCharType="begin"/>
      </w:r>
      <w:r>
        <w:rPr>
          <w:rStyle w:val="16"/>
          <w:b/>
          <w:bCs/>
        </w:rPr>
        <w:instrText xml:space="preserve"> TOC \o "1-1" \h \z \u </w:instrText>
      </w:r>
      <w:r>
        <w:rPr>
          <w:rStyle w:val="16"/>
          <w:b/>
          <w:bCs/>
        </w:rPr>
        <w:fldChar w:fldCharType="separate"/>
      </w:r>
      <w:r>
        <w:fldChar w:fldCharType="begin"/>
      </w:r>
      <w:r>
        <w:instrText xml:space="preserve"> HYPERLINK \l "_Toc78377174" </w:instrText>
      </w:r>
      <w:r>
        <w:fldChar w:fldCharType="separate"/>
      </w:r>
      <w:r>
        <w:rPr>
          <w:rStyle w:val="16"/>
          <w:rFonts w:ascii="Times New Roman" w:eastAsia="楷体_GB2312"/>
          <w:b/>
          <w:bCs/>
        </w:rPr>
        <w:t>一、定义</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_Toc78377174 \h </w:instrText>
      </w:r>
      <w:r>
        <w:rPr>
          <w:rFonts w:ascii="Times New Roman" w:eastAsia="楷体_GB2312"/>
          <w:b/>
          <w:bCs/>
        </w:rPr>
        <w:fldChar w:fldCharType="separate"/>
      </w:r>
      <w:r>
        <w:rPr>
          <w:rFonts w:ascii="Times New Roman" w:eastAsia="楷体_GB2312"/>
          <w:b/>
          <w:bCs/>
        </w:rPr>
        <w:t>4</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"_Toc78377175" </w:instrText>
      </w:r>
      <w:r>
        <w:fldChar w:fldCharType="separate"/>
      </w:r>
      <w:r>
        <w:rPr>
          <w:rStyle w:val="16"/>
          <w:rFonts w:ascii="Times New Roman" w:eastAsia="楷体_GB2312"/>
          <w:b/>
          <w:bCs/>
        </w:rPr>
        <w:t>二、法律条款</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_Toc78377175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"_Toc78377176" </w:instrText>
      </w:r>
      <w:r>
        <w:fldChar w:fldCharType="separate"/>
      </w:r>
      <w:r>
        <w:rPr>
          <w:rStyle w:val="16"/>
          <w:rFonts w:ascii="Times New Roman" w:eastAsia="楷体_GB2312"/>
          <w:b/>
          <w:bCs/>
        </w:rPr>
        <w:t>三、修改</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_Toc78377176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"_Toc78377177" </w:instrText>
      </w:r>
      <w:r>
        <w:fldChar w:fldCharType="separate"/>
      </w:r>
      <w:r>
        <w:rPr>
          <w:rStyle w:val="16"/>
          <w:rFonts w:ascii="Times New Roman" w:eastAsia="楷体_GB2312"/>
          <w:b/>
          <w:bCs/>
        </w:rPr>
        <w:t>四、条款</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_Toc78377177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"_Toc78377178" </w:instrText>
      </w:r>
      <w:r>
        <w:fldChar w:fldCharType="separate"/>
      </w:r>
      <w:r>
        <w:rPr>
          <w:rStyle w:val="16"/>
          <w:rFonts w:ascii="Times New Roman" w:eastAsia="楷体_GB2312"/>
          <w:b/>
          <w:bCs/>
        </w:rPr>
        <w:t>五、附件</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_Toc78377178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"_Toc78377179" </w:instrText>
      </w:r>
      <w:r>
        <w:fldChar w:fldCharType="separate"/>
      </w:r>
      <w:r>
        <w:rPr>
          <w:rStyle w:val="16"/>
          <w:rFonts w:ascii="Times New Roman" w:eastAsia="楷体_GB2312"/>
          <w:b/>
          <w:bCs/>
        </w:rPr>
        <w:t>六、标题</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_Toc78377179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"_Toc78377180" </w:instrText>
      </w:r>
      <w:r>
        <w:fldChar w:fldCharType="separate"/>
      </w:r>
      <w:r>
        <w:rPr>
          <w:rStyle w:val="16"/>
          <w:rFonts w:ascii="Times New Roman" w:eastAsia="楷体_GB2312"/>
          <w:b/>
          <w:bCs/>
        </w:rPr>
        <w:t>七、同意与弃权</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_Toc78377180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"_Toc78377181" </w:instrText>
      </w:r>
      <w:r>
        <w:fldChar w:fldCharType="separate"/>
      </w:r>
      <w:r>
        <w:rPr>
          <w:rStyle w:val="16"/>
          <w:rFonts w:ascii="Times New Roman" w:eastAsia="楷体_GB2312"/>
          <w:b/>
          <w:bCs/>
        </w:rPr>
        <w:t>八、继任机构</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_Toc78377181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"_Toc78377182" </w:instrText>
      </w:r>
      <w:r>
        <w:fldChar w:fldCharType="separate"/>
      </w:r>
      <w:r>
        <w:rPr>
          <w:rStyle w:val="16"/>
          <w:rFonts w:ascii="Times New Roman" w:eastAsia="楷体_GB2312"/>
          <w:b/>
          <w:bCs/>
        </w:rPr>
        <w:t>九、变动</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_Toc78377182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imes New Roman" w:eastAsia="楷体_GB2312"/>
          <w:b/>
          <w:bCs/>
          <w:szCs w:val="22"/>
        </w:rPr>
      </w:pPr>
      <w:r>
        <w:fldChar w:fldCharType="begin"/>
      </w:r>
      <w:r>
        <w:instrText xml:space="preserve"> HYPERLINK \l "_Toc78377183" </w:instrText>
      </w:r>
      <w:r>
        <w:fldChar w:fldCharType="separate"/>
      </w:r>
      <w:r>
        <w:rPr>
          <w:rStyle w:val="16"/>
          <w:rFonts w:ascii="Times New Roman" w:eastAsia="楷体_GB2312"/>
          <w:b/>
          <w:bCs/>
        </w:rPr>
        <w:t>十、生效</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_Toc78377183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9"/>
        <w:spacing w:after="78"/>
        <w:rPr>
          <w:rFonts w:asciiTheme="minorHAnsi" w:hAnsiTheme="minorHAnsi" w:eastAsiaTheme="minorEastAsia" w:cstheme="minorBidi"/>
          <w:b/>
          <w:bCs/>
          <w:szCs w:val="22"/>
        </w:rPr>
      </w:pPr>
      <w:r>
        <w:fldChar w:fldCharType="begin"/>
      </w:r>
      <w:r>
        <w:instrText xml:space="preserve"> HYPERLINK \l "_Toc78377184" </w:instrText>
      </w:r>
      <w:r>
        <w:fldChar w:fldCharType="separate"/>
      </w:r>
      <w:r>
        <w:rPr>
          <w:rStyle w:val="16"/>
          <w:rFonts w:ascii="Times New Roman" w:eastAsia="楷体_GB2312"/>
          <w:b/>
          <w:bCs/>
        </w:rPr>
        <w:t>十一、文本</w:t>
      </w:r>
      <w:r>
        <w:rPr>
          <w:rFonts w:ascii="Times New Roman" w:eastAsia="楷体_GB2312"/>
          <w:b/>
          <w:bCs/>
        </w:rPr>
        <w:tab/>
      </w:r>
      <w:r>
        <w:rPr>
          <w:rFonts w:ascii="Times New Roman" w:eastAsia="楷体_GB2312"/>
          <w:b/>
          <w:bCs/>
        </w:rPr>
        <w:fldChar w:fldCharType="begin"/>
      </w:r>
      <w:r>
        <w:rPr>
          <w:rFonts w:ascii="Times New Roman" w:eastAsia="楷体_GB2312"/>
          <w:b/>
          <w:bCs/>
        </w:rPr>
        <w:instrText xml:space="preserve"> PAGEREF _Toc78377184 \h </w:instrText>
      </w:r>
      <w:r>
        <w:rPr>
          <w:rFonts w:ascii="Times New Roman" w:eastAsia="楷体_GB2312"/>
          <w:b/>
          <w:bCs/>
        </w:rPr>
        <w:fldChar w:fldCharType="separate"/>
      </w:r>
      <w:r>
        <w:rPr>
          <w:rFonts w:ascii="Times New Roman" w:eastAsia="楷体_GB2312"/>
          <w:b/>
          <w:bCs/>
        </w:rPr>
        <w:t>28</w:t>
      </w:r>
      <w:r>
        <w:rPr>
          <w:rFonts w:ascii="Times New Roman" w:eastAsia="楷体_GB2312"/>
          <w:b/>
          <w:bCs/>
        </w:rPr>
        <w:fldChar w:fldCharType="end"/>
      </w:r>
      <w:r>
        <w:rPr>
          <w:rFonts w:ascii="Times New Roman" w:eastAsia="楷体_GB2312"/>
          <w:b/>
          <w:bCs/>
        </w:rPr>
        <w:fldChar w:fldCharType="end"/>
      </w:r>
    </w:p>
    <w:p>
      <w:pPr>
        <w:pStyle w:val="13"/>
        <w:spacing w:beforeLines="50" w:afterLines="50" w:line="380" w:lineRule="exact"/>
        <w:ind w:right="1218" w:rightChars="580"/>
        <w:jc w:val="left"/>
        <w:rPr>
          <w:rFonts w:ascii="楷体_GB2312" w:eastAsia="楷体_GB2312" w:cs="楷体_GB2312"/>
          <w:b/>
          <w:bCs/>
          <w:sz w:val="28"/>
          <w:szCs w:val="28"/>
        </w:rPr>
      </w:pPr>
      <w:r>
        <w:rPr>
          <w:rStyle w:val="16"/>
          <w:rFonts w:ascii="宋体"/>
          <w:b/>
          <w:bCs/>
        </w:rPr>
        <w:fldChar w:fldCharType="end"/>
      </w:r>
      <w:r>
        <w:rPr>
          <w:rFonts w:eastAsia="楷体_GB2312"/>
          <w:b/>
          <w:bCs/>
          <w:sz w:val="36"/>
          <w:szCs w:val="36"/>
        </w:rPr>
        <w:br w:type="page"/>
      </w:r>
    </w:p>
    <w:p>
      <w:pPr>
        <w:pStyle w:val="13"/>
        <w:spacing w:beforeAutospacing="1" w:line="380" w:lineRule="atLeast"/>
        <w:ind w:left="-1" w:leftChars="-1" w:right="26" w:hanging="1"/>
        <w:jc w:val="center"/>
        <w:rPr>
          <w:rFonts w:eastAsia="楷体_GB2312"/>
          <w:sz w:val="28"/>
          <w:szCs w:val="28"/>
        </w:rPr>
      </w:pPr>
      <w:r>
        <w:rPr>
          <w:rFonts w:hint="eastAsia" w:ascii="楷体_GB2312" w:eastAsia="楷体_GB2312" w:cs="楷体_GB2312"/>
          <w:b/>
          <w:bCs/>
          <w:sz w:val="28"/>
          <w:szCs w:val="28"/>
        </w:rPr>
        <w:t>【信托名称】</w:t>
      </w:r>
      <w:r>
        <w:rPr>
          <w:rFonts w:hint="eastAsia" w:ascii="楷体_GB2312" w:eastAsia="楷体_GB2312" w:cs="楷体_GB2312"/>
          <w:b/>
          <w:sz w:val="28"/>
          <w:szCs w:val="28"/>
        </w:rPr>
        <w:t>主定义表</w:t>
      </w:r>
    </w:p>
    <w:p>
      <w:pPr>
        <w:pStyle w:val="13"/>
        <w:spacing w:beforeAutospacing="1" w:line="380" w:lineRule="atLeast"/>
        <w:ind w:left="-1" w:leftChars="-1" w:right="26" w:hanging="1"/>
        <w:jc w:val="left"/>
        <w:rPr>
          <w:rFonts w:eastAsia="楷体_GB2312"/>
        </w:rPr>
      </w:pPr>
    </w:p>
    <w:p>
      <w:pPr>
        <w:pStyle w:val="13"/>
        <w:spacing w:beforeLines="50" w:afterLines="50" w:line="240" w:lineRule="atLeast"/>
        <w:rPr>
          <w:rFonts w:eastAsia="楷体_GB2312"/>
          <w:b/>
        </w:rPr>
      </w:pPr>
      <w:r>
        <w:rPr>
          <w:rFonts w:hint="eastAsia" w:ascii="楷体_GB2312" w:eastAsia="楷体_GB2312" w:cs="楷体_GB2312"/>
          <w:b/>
        </w:rPr>
        <w:t>《【信托名称】</w:t>
      </w:r>
      <w:r>
        <w:rPr>
          <w:rFonts w:hint="eastAsia" w:ascii="楷体_GB2312" w:eastAsia="楷体_GB2312" w:cs="楷体_GB2312"/>
          <w:b/>
          <w:bCs/>
        </w:rPr>
        <w:t>主</w:t>
      </w:r>
      <w:r>
        <w:rPr>
          <w:rFonts w:hint="eastAsia" w:ascii="楷体_GB2312" w:eastAsia="楷体_GB2312" w:cs="楷体_GB2312"/>
          <w:b/>
        </w:rPr>
        <w:t>定义表》（</w:t>
      </w:r>
      <w:r>
        <w:rPr>
          <w:rFonts w:eastAsia="楷体_GB2312"/>
          <w:b/>
        </w:rPr>
        <w:t>“</w:t>
      </w:r>
      <w:r>
        <w:rPr>
          <w:rFonts w:hint="eastAsia" w:ascii="楷体_GB2312" w:eastAsia="楷体_GB2312" w:cs="楷体_GB2312"/>
          <w:b/>
        </w:rPr>
        <w:t>本《主定义表》</w:t>
      </w:r>
      <w:r>
        <w:rPr>
          <w:rFonts w:eastAsia="楷体_GB2312"/>
          <w:b/>
        </w:rPr>
        <w:t>”</w:t>
      </w:r>
      <w:r>
        <w:rPr>
          <w:rFonts w:hint="eastAsia" w:ascii="楷体_GB2312" w:eastAsia="楷体_GB2312" w:cs="楷体_GB2312"/>
          <w:b/>
        </w:rPr>
        <w:t>）由以</w:t>
      </w:r>
      <w:bookmarkStart w:id="1" w:name="_DV_M113"/>
      <w:bookmarkEnd w:id="1"/>
      <w:r>
        <w:rPr>
          <w:rFonts w:hint="eastAsia" w:ascii="楷体_GB2312" w:eastAsia="楷体_GB2312" w:cs="楷体_GB2312"/>
          <w:b/>
        </w:rPr>
        <w:t>下双方于【】年【】月【】日于【】市签署：</w:t>
      </w:r>
    </w:p>
    <w:p>
      <w:pPr>
        <w:pStyle w:val="13"/>
        <w:widowControl/>
        <w:spacing w:beforeLines="50" w:afterLines="50" w:line="240" w:lineRule="atLeast"/>
        <w:rPr>
          <w:rFonts w:eastAsia="楷体_GB2312"/>
          <w:bCs/>
          <w:kern w:val="0"/>
        </w:rPr>
      </w:pPr>
      <w:r>
        <w:rPr>
          <w:rFonts w:hint="eastAsia" w:ascii="楷体_GB2312" w:eastAsia="楷体_GB2312" w:cs="楷体_GB2312"/>
          <w:b/>
          <w:bCs/>
          <w:kern w:val="0"/>
        </w:rPr>
        <w:t>【发起机构全称】</w:t>
      </w:r>
      <w:r>
        <w:rPr>
          <w:rFonts w:hint="eastAsia" w:ascii="楷体_GB2312" w:eastAsia="楷体_GB2312" w:cs="楷体_GB2312"/>
          <w:bCs/>
          <w:kern w:val="0"/>
        </w:rPr>
        <w:t>，作为</w:t>
      </w:r>
      <w:r>
        <w:rPr>
          <w:rFonts w:eastAsia="楷体_GB2312"/>
          <w:bCs/>
          <w:kern w:val="0"/>
        </w:rPr>
        <w:t>“</w:t>
      </w:r>
      <w:r>
        <w:rPr>
          <w:rFonts w:hint="eastAsia" w:ascii="楷体_GB2312" w:eastAsia="楷体_GB2312" w:cs="楷体_GB2312"/>
          <w:bCs/>
          <w:kern w:val="0"/>
        </w:rPr>
        <w:t>【信托名称】</w:t>
      </w:r>
      <w:r>
        <w:rPr>
          <w:rFonts w:eastAsia="楷体_GB2312"/>
          <w:kern w:val="0"/>
        </w:rPr>
        <w:t>”</w:t>
      </w:r>
      <w:r>
        <w:rPr>
          <w:rFonts w:hint="eastAsia" w:ascii="楷体_GB2312" w:eastAsia="楷体_GB2312" w:cs="楷体_GB2312"/>
          <w:bCs/>
          <w:kern w:val="0"/>
        </w:rPr>
        <w:t>的</w:t>
      </w:r>
      <w:r>
        <w:rPr>
          <w:rFonts w:eastAsia="楷体_GB2312"/>
          <w:bCs/>
          <w:kern w:val="0"/>
        </w:rPr>
        <w:t>“</w:t>
      </w:r>
      <w:r>
        <w:rPr>
          <w:rFonts w:hint="eastAsia" w:ascii="楷体_GB2312" w:eastAsia="楷体_GB2312" w:cs="楷体_GB2312"/>
          <w:bCs/>
          <w:kern w:val="0"/>
        </w:rPr>
        <w:t>委托人</w:t>
      </w:r>
      <w:r>
        <w:rPr>
          <w:rFonts w:eastAsia="楷体_GB2312"/>
          <w:bCs/>
          <w:kern w:val="0"/>
        </w:rPr>
        <w:t>”</w:t>
      </w:r>
      <w:r>
        <w:rPr>
          <w:rFonts w:hint="eastAsia" w:ascii="楷体_GB2312" w:eastAsia="楷体_GB2312" w:cs="楷体_GB2312"/>
          <w:bCs/>
          <w:kern w:val="0"/>
        </w:rPr>
        <w:t>、</w:t>
      </w:r>
      <w:r>
        <w:rPr>
          <w:rFonts w:eastAsia="楷体_GB2312"/>
          <w:bCs/>
          <w:kern w:val="0"/>
        </w:rPr>
        <w:t>“</w:t>
      </w:r>
      <w:r>
        <w:rPr>
          <w:rFonts w:hint="eastAsia" w:ascii="楷体_GB2312" w:eastAsia="楷体_GB2312" w:cs="楷体_GB2312"/>
          <w:bCs/>
          <w:kern w:val="0"/>
        </w:rPr>
        <w:t>发起机构</w:t>
      </w:r>
      <w:r>
        <w:rPr>
          <w:rFonts w:eastAsia="楷体_GB2312"/>
          <w:bCs/>
          <w:kern w:val="0"/>
        </w:rPr>
        <w:t>”</w:t>
      </w:r>
      <w:r>
        <w:rPr>
          <w:rFonts w:hint="eastAsia" w:ascii="楷体_GB2312" w:eastAsia="楷体_GB2312" w:cs="楷体_GB2312"/>
          <w:bCs/>
          <w:kern w:val="0"/>
        </w:rPr>
        <w:t>以及</w:t>
      </w:r>
      <w:r>
        <w:rPr>
          <w:rFonts w:eastAsia="楷体_GB2312"/>
          <w:bCs/>
          <w:kern w:val="0"/>
        </w:rPr>
        <w:t>“</w:t>
      </w:r>
      <w:r>
        <w:rPr>
          <w:rFonts w:hint="eastAsia" w:ascii="楷体_GB2312" w:eastAsia="楷体_GB2312" w:cs="楷体_GB2312"/>
          <w:bCs/>
          <w:kern w:val="0"/>
        </w:rPr>
        <w:t>资产服务机构</w:t>
      </w:r>
      <w:r>
        <w:rPr>
          <w:rFonts w:eastAsia="楷体_GB2312"/>
          <w:bCs/>
          <w:kern w:val="0"/>
        </w:rPr>
        <w:t>”</w:t>
      </w:r>
      <w:r>
        <w:rPr>
          <w:rFonts w:hint="eastAsia" w:ascii="楷体_GB2312" w:eastAsia="楷体_GB2312" w:cs="楷体_GB2312"/>
          <w:bCs/>
          <w:kern w:val="0"/>
        </w:rPr>
        <w:t>，是依据中华人民共和国法律设立的【】，注册地址在【】；</w:t>
      </w:r>
    </w:p>
    <w:p>
      <w:pPr>
        <w:pStyle w:val="13"/>
        <w:widowControl/>
        <w:spacing w:beforeLines="50" w:afterLines="50" w:line="240" w:lineRule="atLeast"/>
        <w:rPr>
          <w:rFonts w:eastAsia="楷体_GB2312"/>
          <w:bCs/>
          <w:kern w:val="0"/>
        </w:rPr>
      </w:pPr>
      <w:r>
        <w:rPr>
          <w:rFonts w:hint="eastAsia" w:ascii="楷体_GB2312" w:eastAsia="楷体_GB2312" w:cs="楷体_GB2312"/>
          <w:b/>
          <w:kern w:val="0"/>
        </w:rPr>
        <w:t>【受托机构全称】</w:t>
      </w:r>
      <w:r>
        <w:rPr>
          <w:rFonts w:hint="eastAsia" w:ascii="楷体_GB2312" w:eastAsia="楷体_GB2312" w:cs="楷体_GB2312"/>
          <w:bCs/>
          <w:kern w:val="0"/>
        </w:rPr>
        <w:t>，作为</w:t>
      </w:r>
      <w:r>
        <w:rPr>
          <w:rFonts w:eastAsia="楷体_GB2312"/>
          <w:bCs/>
          <w:kern w:val="0"/>
        </w:rPr>
        <w:t>“</w:t>
      </w:r>
      <w:r>
        <w:rPr>
          <w:rFonts w:hint="eastAsia" w:ascii="楷体_GB2312" w:eastAsia="楷体_GB2312" w:cs="楷体_GB2312"/>
          <w:bCs/>
          <w:kern w:val="0"/>
        </w:rPr>
        <w:t>【信托名称】</w:t>
      </w:r>
      <w:r>
        <w:rPr>
          <w:rFonts w:eastAsia="楷体_GB2312"/>
          <w:kern w:val="0"/>
        </w:rPr>
        <w:t>”</w:t>
      </w:r>
      <w:r>
        <w:rPr>
          <w:rFonts w:hint="eastAsia" w:ascii="楷体_GB2312" w:eastAsia="楷体_GB2312" w:cs="楷体_GB2312"/>
          <w:bCs/>
          <w:kern w:val="0"/>
        </w:rPr>
        <w:t>的</w:t>
      </w:r>
      <w:r>
        <w:rPr>
          <w:rFonts w:eastAsia="楷体_GB2312"/>
          <w:bCs/>
          <w:kern w:val="0"/>
        </w:rPr>
        <w:t>“</w:t>
      </w:r>
      <w:r>
        <w:rPr>
          <w:rFonts w:hint="eastAsia" w:ascii="楷体_GB2312" w:eastAsia="楷体_GB2312" w:cs="楷体_GB2312"/>
          <w:bCs/>
          <w:kern w:val="0"/>
        </w:rPr>
        <w:t>受托人</w:t>
      </w:r>
      <w:r>
        <w:rPr>
          <w:rFonts w:eastAsia="楷体_GB2312"/>
          <w:bCs/>
          <w:kern w:val="0"/>
        </w:rPr>
        <w:t>”</w:t>
      </w:r>
      <w:r>
        <w:rPr>
          <w:rFonts w:hint="eastAsia" w:ascii="楷体_GB2312" w:eastAsia="楷体_GB2312" w:cs="楷体_GB2312"/>
          <w:bCs/>
          <w:kern w:val="0"/>
        </w:rPr>
        <w:t>、</w:t>
      </w:r>
      <w:r>
        <w:rPr>
          <w:rFonts w:eastAsia="楷体_GB2312"/>
          <w:bCs/>
          <w:kern w:val="0"/>
        </w:rPr>
        <w:t>“</w:t>
      </w:r>
      <w:r>
        <w:rPr>
          <w:rFonts w:hint="eastAsia" w:ascii="楷体_GB2312" w:eastAsia="楷体_GB2312" w:cs="楷体_GB2312"/>
          <w:bCs/>
          <w:kern w:val="0"/>
        </w:rPr>
        <w:t>受托机构</w:t>
      </w:r>
      <w:r>
        <w:rPr>
          <w:rFonts w:eastAsia="楷体_GB2312"/>
          <w:bCs/>
          <w:kern w:val="0"/>
        </w:rPr>
        <w:t>”</w:t>
      </w:r>
      <w:r>
        <w:rPr>
          <w:rFonts w:hint="eastAsia" w:ascii="楷体_GB2312" w:eastAsia="楷体_GB2312" w:cs="楷体_GB2312"/>
          <w:bCs/>
          <w:kern w:val="0"/>
        </w:rPr>
        <w:t>和</w:t>
      </w:r>
      <w:r>
        <w:rPr>
          <w:rFonts w:eastAsia="楷体_GB2312"/>
          <w:bCs/>
          <w:kern w:val="0"/>
        </w:rPr>
        <w:t>“</w:t>
      </w:r>
      <w:r>
        <w:rPr>
          <w:rFonts w:hint="eastAsia" w:ascii="楷体_GB2312" w:eastAsia="楷体_GB2312" w:cs="楷体_GB2312"/>
          <w:bCs/>
          <w:kern w:val="0"/>
        </w:rPr>
        <w:t>发行载体管理机构</w:t>
      </w:r>
      <w:r>
        <w:rPr>
          <w:rFonts w:eastAsia="楷体_GB2312"/>
          <w:bCs/>
          <w:kern w:val="0"/>
        </w:rPr>
        <w:t>”</w:t>
      </w:r>
      <w:r>
        <w:rPr>
          <w:rFonts w:hint="eastAsia" w:ascii="楷体_GB2312" w:eastAsia="楷体_GB2312" w:cs="楷体_GB2312"/>
          <w:bCs/>
          <w:kern w:val="0"/>
        </w:rPr>
        <w:t>，是依据中华人</w:t>
      </w:r>
      <w:bookmarkStart w:id="2" w:name="_Toc173860429"/>
      <w:bookmarkEnd w:id="2"/>
      <w:bookmarkStart w:id="3" w:name="_Toc149842420"/>
      <w:r>
        <w:rPr>
          <w:rFonts w:hint="eastAsia" w:ascii="楷体_GB2312" w:eastAsia="楷体_GB2312" w:cs="楷体_GB2312"/>
          <w:bCs/>
          <w:kern w:val="0"/>
        </w:rPr>
        <w:t>民共和国</w:t>
      </w:r>
      <w:bookmarkEnd w:id="3"/>
      <w:r>
        <w:rPr>
          <w:rFonts w:hint="eastAsia" w:ascii="楷体_GB2312" w:eastAsia="楷体_GB2312" w:cs="楷体_GB2312"/>
          <w:bCs/>
          <w:kern w:val="0"/>
        </w:rPr>
        <w:t>法</w:t>
      </w:r>
      <w:bookmarkStart w:id="4" w:name="_Toc173860430"/>
      <w:r>
        <w:rPr>
          <w:rFonts w:hint="eastAsia" w:ascii="楷体_GB2312" w:eastAsia="楷体_GB2312" w:cs="楷体_GB2312"/>
          <w:bCs/>
          <w:kern w:val="0"/>
        </w:rPr>
        <w:t>律设立的【】，注册地址在【】。</w:t>
      </w:r>
      <w:bookmarkEnd w:id="4"/>
    </w:p>
    <w:p>
      <w:pPr>
        <w:pStyle w:val="13"/>
        <w:spacing w:beforeLines="50" w:afterLines="50" w:line="240" w:lineRule="atLeast"/>
        <w:outlineLvl w:val="0"/>
        <w:rPr>
          <w:rFonts w:eastAsia="楷体_GB2312"/>
          <w:b/>
        </w:rPr>
      </w:pPr>
      <w:bookmarkStart w:id="5" w:name="_Toc78377174"/>
      <w:bookmarkEnd w:id="5"/>
      <w:bookmarkStart w:id="6" w:name="_Toc173860431"/>
      <w:r>
        <w:rPr>
          <w:rFonts w:hint="eastAsia" w:ascii="楷体_GB2312" w:eastAsia="楷体_GB2312" w:cs="楷体_GB2312"/>
          <w:b/>
        </w:rPr>
        <w:t>一、定义</w:t>
      </w:r>
      <w:bookmarkEnd w:id="6"/>
    </w:p>
    <w:p>
      <w:pPr>
        <w:pStyle w:val="13"/>
        <w:spacing w:beforeLines="50" w:afterLines="50" w:line="240" w:lineRule="atLeast"/>
        <w:outlineLvl w:val="1"/>
        <w:rPr>
          <w:rFonts w:eastAsia="楷体_GB2312"/>
          <w:b/>
        </w:rPr>
      </w:pPr>
      <w:r>
        <w:rPr>
          <w:rFonts w:hint="eastAsia" w:ascii="楷体_GB2312" w:eastAsia="楷体_GB2312" w:cs="楷体_GB2312"/>
          <w:b/>
        </w:rPr>
        <w:t>（一）项目涉及的相关机构的定义</w:t>
      </w:r>
    </w:p>
    <w:p>
      <w:pPr>
        <w:pStyle w:val="13"/>
        <w:spacing w:beforeLines="50" w:afterLines="50" w:line="240" w:lineRule="atLeast"/>
        <w:outlineLvl w:val="2"/>
        <w:rPr>
          <w:rFonts w:eastAsia="楷体_GB2312"/>
          <w:b/>
        </w:rPr>
      </w:pPr>
      <w:r>
        <w:rPr>
          <w:rFonts w:eastAsia="楷体_GB2312"/>
          <w:b/>
        </w:rPr>
        <w:t>1</w:t>
      </w:r>
      <w:r>
        <w:rPr>
          <w:rFonts w:hint="eastAsia" w:ascii="楷体_GB2312" w:eastAsia="楷体_GB2312" w:cs="楷体_GB2312"/>
          <w:b/>
        </w:rPr>
        <w:t>、信托当事人</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委托人</w:t>
      </w:r>
      <w:r>
        <w:rPr>
          <w:rFonts w:eastAsia="楷体_GB2312"/>
          <w:b/>
          <w:bCs/>
          <w:sz w:val="24"/>
        </w:rPr>
        <w:t>/</w:t>
      </w:r>
      <w:r>
        <w:rPr>
          <w:rFonts w:hint="eastAsia" w:ascii="楷体_GB2312" w:eastAsia="楷体_GB2312" w:cs="楷体_GB2312"/>
          <w:b/>
          <w:bCs/>
          <w:sz w:val="24"/>
        </w:rPr>
        <w:t>发起机构</w:t>
      </w:r>
      <w:r>
        <w:rPr>
          <w:rFonts w:eastAsia="楷体_GB2312"/>
          <w:b/>
          <w:bCs/>
          <w:sz w:val="24"/>
        </w:rPr>
        <w:t>/</w:t>
      </w:r>
      <w:r>
        <w:rPr>
          <w:rFonts w:hint="eastAsia" w:ascii="楷体_GB2312" w:eastAsia="楷体_GB2312" w:cs="楷体_GB2312"/>
          <w:b/>
          <w:bCs/>
          <w:sz w:val="24"/>
        </w:rPr>
        <w:t>【发起机构简称】：</w:t>
      </w:r>
      <w:r>
        <w:rPr>
          <w:rFonts w:hint="eastAsia" w:ascii="楷体_GB2312" w:eastAsia="楷体_GB2312" w:cs="楷体_GB2312"/>
          <w:bCs/>
          <w:sz w:val="24"/>
        </w:rPr>
        <w:t>系指</w:t>
      </w:r>
      <w:r>
        <w:rPr>
          <w:rFonts w:hint="eastAsia" w:ascii="楷体_GB2312" w:eastAsia="楷体_GB2312" w:cs="楷体_GB2312"/>
          <w:sz w:val="24"/>
        </w:rPr>
        <w:t>【发起机构全称】</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受托人</w:t>
      </w:r>
      <w:r>
        <w:rPr>
          <w:rFonts w:eastAsia="楷体_GB2312"/>
          <w:b/>
          <w:bCs/>
          <w:sz w:val="24"/>
        </w:rPr>
        <w:t>/</w:t>
      </w:r>
      <w:r>
        <w:rPr>
          <w:rFonts w:hint="eastAsia" w:ascii="楷体_GB2312" w:eastAsia="楷体_GB2312" w:cs="楷体_GB2312"/>
          <w:b/>
          <w:bCs/>
          <w:sz w:val="24"/>
        </w:rPr>
        <w:t>受托机构：</w:t>
      </w:r>
      <w:r>
        <w:rPr>
          <w:rFonts w:hint="eastAsia" w:ascii="楷体_GB2312" w:eastAsia="楷体_GB2312" w:cs="楷体_GB2312"/>
          <w:bCs/>
          <w:sz w:val="24"/>
        </w:rPr>
        <w:t>系指</w:t>
      </w:r>
      <w:r>
        <w:rPr>
          <w:rFonts w:hint="eastAsia" w:ascii="楷体_GB2312" w:eastAsia="楷体_GB2312" w:cs="楷体_GB2312"/>
          <w:sz w:val="24"/>
        </w:rPr>
        <w:t>【受托机构全称】，</w:t>
      </w:r>
      <w:r>
        <w:rPr>
          <w:rFonts w:hint="eastAsia" w:ascii="楷体_GB2312" w:eastAsia="楷体_GB2312" w:cs="楷体_GB2312"/>
          <w:kern w:val="0"/>
          <w:sz w:val="24"/>
        </w:rPr>
        <w:t>以及任何允许的继任机构</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【受托机构简称】：</w:t>
      </w:r>
      <w:r>
        <w:rPr>
          <w:rFonts w:hint="eastAsia" w:ascii="楷体_GB2312" w:eastAsia="楷体_GB2312" w:cs="楷体_GB2312"/>
          <w:sz w:val="24"/>
        </w:rPr>
        <w:t>系指【受托机构全称】。</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受益人：</w:t>
      </w:r>
      <w:r>
        <w:rPr>
          <w:rFonts w:hint="eastAsia" w:ascii="楷体_GB2312" w:eastAsia="楷体_GB2312" w:cs="楷体_GB2312"/>
          <w:sz w:val="24"/>
        </w:rPr>
        <w:t>系指享有</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信托受益权</w:t>
      </w:r>
      <w:r>
        <w:rPr>
          <w:rFonts w:eastAsia="楷体_GB2312"/>
          <w:sz w:val="24"/>
        </w:rPr>
        <w:t>”</w:t>
      </w:r>
      <w:r>
        <w:rPr>
          <w:rFonts w:hint="eastAsia" w:ascii="楷体_GB2312" w:eastAsia="楷体_GB2312" w:cs="楷体_GB2312"/>
          <w:sz w:val="24"/>
        </w:rPr>
        <w:t>的主体。一般情形下，本</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sz w:val="24"/>
        </w:rPr>
        <w:t>为</w:t>
      </w:r>
      <w:r>
        <w:rPr>
          <w:rFonts w:eastAsia="楷体_GB2312"/>
          <w:sz w:val="24"/>
        </w:rPr>
        <w:t>“</w:t>
      </w:r>
      <w:r>
        <w:rPr>
          <w:rFonts w:hint="eastAsia" w:ascii="楷体_GB2312" w:eastAsia="楷体_GB2312" w:cs="楷体_GB2312"/>
          <w:sz w:val="24"/>
        </w:rPr>
        <w:t>资产支持商业票据持有人</w:t>
      </w:r>
      <w:r>
        <w:rPr>
          <w:rFonts w:eastAsia="楷体_GB2312"/>
          <w:sz w:val="24"/>
        </w:rPr>
        <w:t>”</w:t>
      </w:r>
      <w:r>
        <w:rPr>
          <w:rFonts w:hint="eastAsia" w:ascii="楷体_GB2312" w:eastAsia="楷体_GB2312" w:cs="楷体_GB2312"/>
          <w:sz w:val="24"/>
        </w:rPr>
        <w:t>。当且仅当</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的约定受让全部</w:t>
      </w:r>
      <w:r>
        <w:rPr>
          <w:rFonts w:eastAsia="楷体_GB2312"/>
          <w:sz w:val="24"/>
        </w:rPr>
        <w:t>“</w:t>
      </w:r>
      <w:r>
        <w:rPr>
          <w:rFonts w:hint="eastAsia" w:ascii="楷体_GB2312" w:eastAsia="楷体_GB2312" w:cs="楷体_GB2312"/>
          <w:sz w:val="24"/>
        </w:rPr>
        <w:t>优先级信托受益权</w:t>
      </w:r>
      <w:r>
        <w:rPr>
          <w:rFonts w:eastAsia="楷体_GB2312"/>
          <w:sz w:val="24"/>
        </w:rPr>
        <w:t>”</w:t>
      </w:r>
      <w:r>
        <w:rPr>
          <w:rFonts w:hint="eastAsia" w:ascii="楷体_GB2312" w:eastAsia="楷体_GB2312" w:cs="楷体_GB2312"/>
          <w:sz w:val="24"/>
        </w:rPr>
        <w:t>并成为</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项下唯一</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sz w:val="24"/>
        </w:rPr>
        <w:t>时，本</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sz w:val="24"/>
        </w:rPr>
        <w:t>为</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sz w:val="24"/>
          <w:u w:val="single"/>
        </w:rPr>
      </w:pPr>
      <w:r>
        <w:rPr>
          <w:rFonts w:eastAsia="楷体_GB2312"/>
          <w:b/>
          <w:bCs/>
          <w:i/>
          <w:color w:val="FF0000"/>
          <w:sz w:val="24"/>
          <w:u w:val="single"/>
        </w:rPr>
        <w:t>1</w:t>
      </w:r>
      <w:r>
        <w:rPr>
          <w:rFonts w:hint="eastAsia" w:ascii="楷体_GB2312" w:eastAsia="楷体_GB2312" w:cs="楷体_GB2312"/>
          <w:b/>
          <w:bCs/>
          <w:i/>
          <w:color w:val="FF0000"/>
          <w:sz w:val="24"/>
          <w:u w:val="single"/>
        </w:rPr>
        <w:t>、如未设置回购机制，</w:t>
      </w:r>
      <w:r>
        <w:rPr>
          <w:rFonts w:hint="eastAsia" w:ascii="楷体_GB2312" w:eastAsia="楷体_GB2312" w:cs="楷体_GB2312"/>
          <w:b/>
          <w:bCs/>
          <w:i/>
          <w:color w:val="FF0000"/>
          <w:sz w:val="24"/>
          <w:u w:val="single"/>
          <w:lang w:val="en-US" w:eastAsia="zh-CN"/>
        </w:rPr>
        <w:t>相关定义和条款应</w:t>
      </w:r>
      <w:r>
        <w:rPr>
          <w:rFonts w:hint="eastAsia" w:ascii="楷体_GB2312" w:eastAsia="楷体_GB2312" w:cs="楷体_GB2312"/>
          <w:b/>
          <w:bCs/>
          <w:i/>
          <w:color w:val="FF0000"/>
          <w:sz w:val="24"/>
          <w:u w:val="single"/>
        </w:rPr>
        <w:t>相应</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下同</w:t>
      </w:r>
      <w:r>
        <w:rPr>
          <w:rFonts w:hint="eastAsia" w:ascii="楷体_GB2312" w:eastAsia="楷体_GB2312" w:cs="楷体_GB2312"/>
          <w:b/>
          <w:bCs/>
          <w:i/>
          <w:color w:val="FF0000"/>
          <w:sz w:val="24"/>
          <w:u w:val="single"/>
        </w:rPr>
        <w:t>。</w:t>
      </w:r>
      <w:r>
        <w:rPr>
          <w:rFonts w:eastAsia="楷体_GB2312"/>
          <w:b/>
          <w:bCs/>
          <w:i/>
          <w:color w:val="FF0000"/>
          <w:sz w:val="24"/>
          <w:u w:val="single"/>
        </w:rPr>
        <w:t>2</w:t>
      </w:r>
      <w:r>
        <w:rPr>
          <w:rFonts w:hint="eastAsia" w:ascii="楷体_GB2312" w:eastAsia="楷体_GB2312" w:cs="楷体_GB2312"/>
          <w:b/>
          <w:bCs/>
          <w:i/>
          <w:color w:val="FF0000"/>
          <w:sz w:val="24"/>
          <w:u w:val="single"/>
        </w:rPr>
        <w:t>、如次级资产支持商业票据选择滚动发行机制，则相关定义</w:t>
      </w:r>
      <w:r>
        <w:rPr>
          <w:rFonts w:hint="eastAsia" w:ascii="楷体_GB2312" w:eastAsia="楷体_GB2312" w:cs="楷体_GB2312"/>
          <w:b/>
          <w:bCs/>
          <w:i/>
          <w:color w:val="FF0000"/>
          <w:sz w:val="24"/>
          <w:u w:val="single"/>
          <w:lang w:val="en-US" w:eastAsia="zh-CN"/>
        </w:rPr>
        <w:t>和条款</w:t>
      </w:r>
      <w:r>
        <w:rPr>
          <w:rFonts w:hint="eastAsia" w:ascii="楷体_GB2312" w:eastAsia="楷体_GB2312" w:cs="楷体_GB2312"/>
          <w:b/>
          <w:bCs/>
          <w:i/>
          <w:color w:val="FF0000"/>
          <w:sz w:val="24"/>
          <w:u w:val="single"/>
        </w:rPr>
        <w:t>需</w:t>
      </w:r>
      <w:r>
        <w:rPr>
          <w:rFonts w:hint="eastAsia" w:ascii="楷体_GB2312" w:eastAsia="楷体_GB2312" w:cs="楷体_GB2312"/>
          <w:b/>
          <w:bCs/>
          <w:i/>
          <w:color w:val="FF0000"/>
          <w:sz w:val="24"/>
          <w:u w:val="single"/>
          <w:lang w:val="en-US" w:eastAsia="zh-CN"/>
        </w:rPr>
        <w:t>应</w:t>
      </w:r>
      <w:r>
        <w:rPr>
          <w:rFonts w:hint="eastAsia" w:ascii="楷体_GB2312" w:eastAsia="楷体_GB2312" w:cs="楷体_GB2312"/>
          <w:b/>
          <w:bCs/>
          <w:i/>
          <w:color w:val="FF0000"/>
          <w:sz w:val="24"/>
          <w:u w:val="single"/>
        </w:rPr>
        <w:t>根据实际情况</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rPr>
        <w:t>，下同。</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资产支持商业票据持有人：</w:t>
      </w:r>
      <w:r>
        <w:rPr>
          <w:rFonts w:hint="eastAsia" w:ascii="楷体_GB2312" w:eastAsia="楷体_GB2312" w:cs="楷体_GB2312"/>
          <w:sz w:val="24"/>
        </w:rPr>
        <w:t>系指任何持有</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的投资者，包括投资购买</w:t>
      </w:r>
      <w:r>
        <w:rPr>
          <w:rFonts w:eastAsia="楷体_GB2312"/>
          <w:sz w:val="24"/>
        </w:rPr>
        <w:t>“</w:t>
      </w:r>
      <w:r>
        <w:rPr>
          <w:rFonts w:hint="eastAsia" w:ascii="楷体_GB2312" w:eastAsia="楷体_GB2312" w:cs="楷体_GB2312"/>
          <w:bCs/>
          <w:sz w:val="24"/>
        </w:rPr>
        <w:t>发行载体管理机构</w:t>
      </w:r>
      <w:r>
        <w:rPr>
          <w:rFonts w:eastAsia="楷体_GB2312"/>
          <w:bCs/>
          <w:sz w:val="24"/>
        </w:rPr>
        <w:t>”</w:t>
      </w:r>
      <w:r>
        <w:rPr>
          <w:rFonts w:hint="eastAsia" w:ascii="楷体_GB2312" w:eastAsia="楷体_GB2312" w:cs="楷体_GB2312"/>
          <w:bCs/>
          <w:sz w:val="24"/>
        </w:rPr>
        <w:t>（</w:t>
      </w:r>
      <w:r>
        <w:rPr>
          <w:rFonts w:eastAsia="楷体_GB2312"/>
          <w:bCs/>
          <w:sz w:val="24"/>
        </w:rPr>
        <w:t>“</w:t>
      </w:r>
      <w:r>
        <w:rPr>
          <w:rFonts w:hint="eastAsia" w:ascii="楷体_GB2312" w:eastAsia="楷体_GB2312" w:cs="楷体_GB2312"/>
          <w:bCs/>
          <w:sz w:val="24"/>
        </w:rPr>
        <w:t>受托机构</w:t>
      </w:r>
      <w:r>
        <w:rPr>
          <w:rFonts w:eastAsia="楷体_GB2312"/>
          <w:bCs/>
          <w:sz w:val="24"/>
        </w:rPr>
        <w:t>”</w:t>
      </w:r>
      <w:r>
        <w:rPr>
          <w:rFonts w:hint="eastAsia" w:ascii="楷体_GB2312" w:eastAsia="楷体_GB2312" w:cs="楷体_GB2312"/>
          <w:bCs/>
          <w:sz w:val="24"/>
        </w:rPr>
        <w:t>）</w:t>
      </w:r>
      <w:r>
        <w:rPr>
          <w:rFonts w:hint="eastAsia" w:ascii="楷体_GB2312" w:eastAsia="楷体_GB2312" w:cs="楷体_GB2312"/>
          <w:sz w:val="24"/>
        </w:rPr>
        <w:t>发行的</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的投资者和在</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交易流通过程中取得</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的其他投资者。根据其持有的不同</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的类别，</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w:t>
      </w:r>
      <w:r>
        <w:rPr>
          <w:rFonts w:eastAsia="楷体_GB2312"/>
          <w:sz w:val="24"/>
        </w:rPr>
        <w:t>“</w:t>
      </w:r>
      <w:r>
        <w:rPr>
          <w:rFonts w:hint="eastAsia" w:ascii="楷体_GB2312" w:eastAsia="楷体_GB2312" w:cs="楷体_GB2312"/>
          <w:bCs/>
          <w:sz w:val="24"/>
        </w:rPr>
        <w:t>资产支持商业票据</w:t>
      </w:r>
      <w:r>
        <w:rPr>
          <w:rFonts w:hint="eastAsia" w:ascii="楷体_GB2312" w:eastAsia="楷体_GB2312" w:cs="楷体_GB2312"/>
          <w:sz w:val="24"/>
        </w:rPr>
        <w:t>持有人</w:t>
      </w:r>
      <w:r>
        <w:rPr>
          <w:rFonts w:eastAsia="楷体_GB2312"/>
          <w:sz w:val="24"/>
        </w:rPr>
        <w:t>”</w:t>
      </w:r>
      <w:r>
        <w:rPr>
          <w:rFonts w:hint="eastAsia" w:ascii="楷体_GB2312" w:eastAsia="楷体_GB2312" w:cs="楷体_GB2312"/>
          <w:sz w:val="24"/>
        </w:rPr>
        <w:t>分为</w:t>
      </w:r>
      <w:r>
        <w:rPr>
          <w:rFonts w:eastAsia="楷体_GB2312"/>
          <w:sz w:val="24"/>
        </w:rPr>
        <w:t>“</w:t>
      </w:r>
      <w:r>
        <w:rPr>
          <w:rFonts w:hint="eastAsia" w:ascii="楷体_GB2312" w:eastAsia="楷体_GB2312" w:cs="楷体_GB2312"/>
          <w:sz w:val="24"/>
        </w:rPr>
        <w:t>优先级</w:t>
      </w:r>
      <w:r>
        <w:rPr>
          <w:rFonts w:hint="eastAsia" w:ascii="楷体_GB2312" w:eastAsia="楷体_GB2312" w:cs="楷体_GB2312"/>
          <w:bCs/>
          <w:sz w:val="24"/>
        </w:rPr>
        <w:t>资产支持商业票据</w:t>
      </w:r>
      <w:r>
        <w:rPr>
          <w:rFonts w:hint="eastAsia" w:ascii="楷体_GB2312" w:eastAsia="楷体_GB2312" w:cs="楷体_GB2312"/>
          <w:sz w:val="24"/>
        </w:rPr>
        <w:t>持有人</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次级</w:t>
      </w:r>
      <w:r>
        <w:rPr>
          <w:rFonts w:hint="eastAsia" w:ascii="楷体_GB2312" w:eastAsia="楷体_GB2312" w:cs="楷体_GB2312"/>
          <w:bCs/>
          <w:sz w:val="24"/>
        </w:rPr>
        <w:t>资产支持商业票据</w:t>
      </w:r>
      <w:r>
        <w:rPr>
          <w:rFonts w:hint="eastAsia" w:ascii="楷体_GB2312" w:eastAsia="楷体_GB2312" w:cs="楷体_GB2312"/>
          <w:sz w:val="24"/>
        </w:rPr>
        <w:t>持有人</w:t>
      </w:r>
      <w:r>
        <w:rPr>
          <w:rFonts w:eastAsia="楷体_GB2312"/>
          <w:sz w:val="24"/>
        </w:rPr>
        <w:t>”</w:t>
      </w:r>
      <w:r>
        <w:rPr>
          <w:rFonts w:hint="eastAsia" w:ascii="楷体_GB2312" w:eastAsia="楷体_GB2312" w:cs="楷体_GB2312"/>
          <w:bCs/>
          <w:sz w:val="24"/>
        </w:rPr>
        <w:t>。</w:t>
      </w:r>
    </w:p>
    <w:p>
      <w:pPr>
        <w:numPr>
          <w:ilvl w:val="-1"/>
          <w:numId w:val="0"/>
        </w:numPr>
        <w:adjustRightInd w:val="0"/>
        <w:spacing w:beforeLines="50" w:afterLines="50" w:line="240" w:lineRule="atLeast"/>
        <w:ind w:left="851" w:firstLine="0"/>
        <w:textAlignment w:val="baseline"/>
        <w:rPr>
          <w:rFonts w:eastAsia="楷体_GB2312"/>
          <w:b/>
          <w:sz w:val="24"/>
          <w:u w:val="single"/>
        </w:rPr>
      </w:pPr>
      <w:r>
        <w:rPr>
          <w:rFonts w:hint="eastAsia" w:ascii="楷体_GB2312" w:eastAsia="楷体_GB2312" w:cs="楷体_GB2312"/>
          <w:b/>
          <w:i/>
          <w:color w:val="FF0000"/>
          <w:sz w:val="24"/>
          <w:u w:val="single"/>
        </w:rPr>
        <w:t>资产支持商业票据</w:t>
      </w:r>
      <w:r>
        <w:rPr>
          <w:rFonts w:hint="eastAsia" w:ascii="楷体_GB2312" w:eastAsia="楷体_GB2312" w:cs="楷体_GB2312"/>
          <w:b/>
          <w:i/>
          <w:color w:val="FF0000"/>
          <w:sz w:val="24"/>
          <w:u w:val="single"/>
          <w:lang w:val="en-US" w:eastAsia="zh-CN"/>
        </w:rPr>
        <w:t>持有人</w:t>
      </w:r>
      <w:r>
        <w:rPr>
          <w:rFonts w:hint="eastAsia" w:ascii="楷体_GB2312" w:eastAsia="楷体_GB2312" w:cs="楷体_GB2312"/>
          <w:b/>
          <w:i/>
          <w:color w:val="FF0000"/>
          <w:sz w:val="24"/>
          <w:u w:val="single"/>
        </w:rPr>
        <w:t>各层级的命名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，下同。</w:t>
      </w:r>
    </w:p>
    <w:p>
      <w:pPr>
        <w:numPr>
          <w:ilvl w:val="1"/>
          <w:numId w:val="2"/>
        </w:numPr>
        <w:adjustRightInd w:val="0"/>
        <w:spacing w:beforeLines="50" w:afterLines="50" w:line="240" w:lineRule="atLeast"/>
        <w:ind w:left="851" w:hanging="851"/>
        <w:textAlignment w:val="baseline"/>
        <w:rPr>
          <w:rFonts w:hint="eastAsia" w:ascii="楷体_GB2312" w:eastAsia="楷体_GB2312" w:cs="楷体_GB2312"/>
          <w:bCs w:val="0"/>
          <w:sz w:val="24"/>
        </w:rPr>
      </w:pPr>
      <w:r>
        <w:rPr>
          <w:rFonts w:hint="eastAsia" w:ascii="楷体_GB2312" w:eastAsia="楷体_GB2312" w:cs="楷体_GB2312"/>
          <w:b/>
          <w:sz w:val="24"/>
        </w:rPr>
        <w:t>优先级资产支持商业票据持有人：</w:t>
      </w:r>
      <w:r>
        <w:rPr>
          <w:rFonts w:hint="default" w:ascii="Times New Roman" w:eastAsia="楷体_GB2312" w:cs="Times New Roman"/>
          <w:sz w:val="24"/>
        </w:rPr>
        <w:t>系指</w:t>
      </w:r>
      <w:r>
        <w:rPr>
          <w:rFonts w:hint="default" w:eastAsia="楷体_GB2312"/>
          <w:sz w:val="24"/>
        </w:rPr>
        <w:t>“</w:t>
      </w:r>
      <w:r>
        <w:rPr>
          <w:rFonts w:hint="default" w:ascii="Times New Roman" w:eastAsia="楷体_GB2312" w:cs="Times New Roman"/>
          <w:sz w:val="24"/>
        </w:rPr>
        <w:t>优先级</w:t>
      </w:r>
      <w:r>
        <w:rPr>
          <w:rFonts w:hint="default" w:ascii="Times New Roman" w:eastAsia="楷体_GB2312" w:cs="Times New Roman"/>
          <w:bCs w:val="0"/>
          <w:sz w:val="24"/>
        </w:rPr>
        <w:t>资产支持商业票据</w:t>
      </w:r>
      <w:r>
        <w:rPr>
          <w:rFonts w:hint="default" w:eastAsia="楷体_GB2312"/>
          <w:sz w:val="24"/>
        </w:rPr>
        <w:t>”</w:t>
      </w:r>
      <w:r>
        <w:rPr>
          <w:rFonts w:hint="default" w:ascii="Times New Roman" w:eastAsia="楷体_GB2312" w:cs="Times New Roman"/>
          <w:sz w:val="24"/>
        </w:rPr>
        <w:t>的持有人</w:t>
      </w:r>
      <w:r>
        <w:rPr>
          <w:rFonts w:hint="default" w:ascii="Times New Roman" w:eastAsia="楷体_GB2312" w:cs="Times New Roman"/>
          <w:bCs w:val="0"/>
          <w:sz w:val="24"/>
        </w:rPr>
        <w:t>。在第一期</w:t>
      </w:r>
      <w:r>
        <w:rPr>
          <w:rFonts w:hint="default" w:eastAsia="楷体_GB2312"/>
          <w:bCs w:val="0"/>
          <w:sz w:val="24"/>
        </w:rPr>
        <w:t>“</w:t>
      </w:r>
      <w:r>
        <w:rPr>
          <w:rFonts w:hint="default" w:ascii="Times New Roman" w:eastAsia="楷体_GB2312" w:cs="Times New Roman"/>
          <w:bCs w:val="0"/>
          <w:sz w:val="24"/>
        </w:rPr>
        <w:t>资产支持商业票据</w:t>
      </w:r>
      <w:r>
        <w:rPr>
          <w:rFonts w:hint="default" w:eastAsia="楷体_GB2312"/>
          <w:bCs w:val="0"/>
          <w:sz w:val="24"/>
        </w:rPr>
        <w:t>”</w:t>
      </w:r>
      <w:r>
        <w:rPr>
          <w:rFonts w:hint="default" w:ascii="Times New Roman" w:eastAsia="楷体_GB2312" w:cs="Times New Roman"/>
          <w:bCs w:val="0"/>
          <w:sz w:val="24"/>
        </w:rPr>
        <w:t>发行后，</w:t>
      </w:r>
      <w:r>
        <w:rPr>
          <w:rFonts w:hint="default" w:eastAsia="楷体_GB2312"/>
          <w:bCs w:val="0"/>
          <w:sz w:val="24"/>
        </w:rPr>
        <w:t>“</w:t>
      </w:r>
      <w:r>
        <w:rPr>
          <w:rFonts w:hint="default" w:ascii="Times New Roman" w:eastAsia="楷体_GB2312" w:cs="Times New Roman"/>
          <w:bCs w:val="0"/>
          <w:sz w:val="24"/>
        </w:rPr>
        <w:t>优先级资产支持商业票据持有人</w:t>
      </w:r>
      <w:r>
        <w:rPr>
          <w:rFonts w:hint="default" w:eastAsia="楷体_GB2312"/>
          <w:bCs w:val="0"/>
          <w:sz w:val="24"/>
        </w:rPr>
        <w:t>”</w:t>
      </w:r>
      <w:r>
        <w:rPr>
          <w:rFonts w:hint="default" w:ascii="Times New Roman" w:eastAsia="楷体_GB2312" w:cs="Times New Roman"/>
          <w:bCs w:val="0"/>
          <w:sz w:val="24"/>
        </w:rPr>
        <w:t>仅为第一期</w:t>
      </w:r>
      <w:r>
        <w:rPr>
          <w:rFonts w:hint="default" w:eastAsia="楷体_GB2312"/>
          <w:bCs w:val="0"/>
          <w:sz w:val="24"/>
        </w:rPr>
        <w:t>“</w:t>
      </w:r>
      <w:r>
        <w:rPr>
          <w:rFonts w:hint="default" w:ascii="Times New Roman" w:eastAsia="楷体_GB2312" w:cs="Times New Roman"/>
          <w:bCs w:val="0"/>
          <w:sz w:val="24"/>
        </w:rPr>
        <w:t>优先级资产支持商业票据持有人</w:t>
      </w:r>
      <w:r>
        <w:rPr>
          <w:rFonts w:hint="default" w:eastAsia="楷体_GB2312"/>
          <w:bCs w:val="0"/>
          <w:sz w:val="24"/>
        </w:rPr>
        <w:t>”</w:t>
      </w:r>
      <w:r>
        <w:rPr>
          <w:rFonts w:hint="default" w:ascii="Times New Roman" w:eastAsia="楷体_GB2312" w:cs="Times New Roman"/>
          <w:bCs w:val="0"/>
          <w:sz w:val="24"/>
        </w:rPr>
        <w:t>；第</w:t>
      </w:r>
      <w:r>
        <w:rPr>
          <w:rFonts w:hint="default" w:eastAsia="楷体_GB2312"/>
          <w:bCs w:val="0"/>
          <w:sz w:val="24"/>
        </w:rPr>
        <w:t>N+1</w:t>
      </w:r>
      <w:r>
        <w:rPr>
          <w:rFonts w:hint="default" w:ascii="Times New Roman" w:eastAsia="楷体_GB2312" w:cs="Times New Roman"/>
          <w:bCs w:val="0"/>
          <w:sz w:val="24"/>
        </w:rPr>
        <w:t>期</w:t>
      </w:r>
      <w:r>
        <w:rPr>
          <w:rFonts w:hint="default" w:ascii="Times New Roman" w:eastAsia="楷体_GB2312" w:cs="Times New Roman"/>
          <w:sz w:val="24"/>
        </w:rPr>
        <w:t>（</w:t>
      </w:r>
      <w:r>
        <w:rPr>
          <w:rFonts w:hint="default" w:eastAsia="楷体_GB2312"/>
          <w:sz w:val="24"/>
        </w:rPr>
        <w:t>N</w:t>
      </w:r>
      <w:r>
        <w:rPr>
          <w:rFonts w:hint="default" w:ascii="Times New Roman" w:eastAsia="楷体_GB2312" w:cs="Times New Roman"/>
          <w:sz w:val="24"/>
        </w:rPr>
        <w:t>为大于等于</w:t>
      </w:r>
      <w:r>
        <w:rPr>
          <w:rFonts w:hint="default" w:eastAsia="楷体_GB2312"/>
          <w:sz w:val="24"/>
        </w:rPr>
        <w:t>1</w:t>
      </w:r>
      <w:r>
        <w:rPr>
          <w:rFonts w:hint="default" w:ascii="Times New Roman" w:eastAsia="楷体_GB2312" w:cs="Times New Roman"/>
          <w:sz w:val="24"/>
        </w:rPr>
        <w:t>的自然数，下同；</w:t>
      </w:r>
      <w:r>
        <w:rPr>
          <w:rFonts w:hint="default" w:eastAsia="楷体_GB2312"/>
          <w:sz w:val="24"/>
        </w:rPr>
        <w:t>N</w:t>
      </w:r>
      <w:r>
        <w:rPr>
          <w:rFonts w:hint="default" w:ascii="Times New Roman" w:eastAsia="楷体_GB2312" w:cs="Times New Roman"/>
          <w:sz w:val="24"/>
        </w:rPr>
        <w:t>代表</w:t>
      </w:r>
      <w:r>
        <w:rPr>
          <w:rFonts w:hint="default" w:eastAsia="楷体_GB2312"/>
          <w:sz w:val="24"/>
        </w:rPr>
        <w:t>“信托”项下资产支持商业票据的期数，各期资产支持商业票据的命名以对应“发行文件”的记载为准</w:t>
      </w:r>
      <w:r>
        <w:rPr>
          <w:rFonts w:hint="default" w:ascii="Times New Roman" w:eastAsia="楷体_GB2312" w:cs="Times New Roman"/>
          <w:sz w:val="24"/>
        </w:rPr>
        <w:t>）</w:t>
      </w:r>
      <w:r>
        <w:rPr>
          <w:rFonts w:hint="default" w:eastAsia="楷体_GB2312"/>
          <w:bCs w:val="0"/>
          <w:sz w:val="24"/>
        </w:rPr>
        <w:t>“</w:t>
      </w:r>
      <w:r>
        <w:rPr>
          <w:rFonts w:hint="default" w:ascii="Times New Roman" w:eastAsia="楷体_GB2312" w:cs="Times New Roman"/>
          <w:bCs w:val="0"/>
          <w:sz w:val="24"/>
        </w:rPr>
        <w:t>资产支持商业票据</w:t>
      </w:r>
      <w:r>
        <w:rPr>
          <w:rFonts w:hint="default" w:eastAsia="楷体_GB2312"/>
          <w:bCs w:val="0"/>
          <w:sz w:val="24"/>
        </w:rPr>
        <w:t>”</w:t>
      </w:r>
      <w:r>
        <w:rPr>
          <w:rFonts w:hint="default" w:ascii="Times New Roman" w:eastAsia="楷体_GB2312" w:cs="Times New Roman"/>
          <w:bCs w:val="0"/>
          <w:sz w:val="24"/>
        </w:rPr>
        <w:t>发行成功并兑付完毕第</w:t>
      </w:r>
      <w:r>
        <w:rPr>
          <w:rFonts w:hint="default" w:eastAsia="楷体_GB2312"/>
          <w:bCs w:val="0"/>
          <w:sz w:val="24"/>
        </w:rPr>
        <w:t>N</w:t>
      </w:r>
      <w:r>
        <w:rPr>
          <w:rFonts w:hint="default" w:ascii="Times New Roman" w:eastAsia="楷体_GB2312" w:cs="Times New Roman"/>
          <w:bCs w:val="0"/>
          <w:sz w:val="24"/>
        </w:rPr>
        <w:t>期</w:t>
      </w:r>
      <w:r>
        <w:rPr>
          <w:rFonts w:hint="default" w:eastAsia="楷体_GB2312"/>
          <w:bCs w:val="0"/>
          <w:sz w:val="24"/>
        </w:rPr>
        <w:t>“</w:t>
      </w:r>
      <w:r>
        <w:rPr>
          <w:rFonts w:hint="default" w:ascii="Times New Roman" w:eastAsia="楷体_GB2312" w:cs="Times New Roman"/>
          <w:bCs w:val="0"/>
          <w:sz w:val="24"/>
        </w:rPr>
        <w:t>资产支持商业票据</w:t>
      </w:r>
      <w:r>
        <w:rPr>
          <w:rFonts w:hint="default" w:eastAsia="楷体_GB2312"/>
          <w:bCs w:val="0"/>
          <w:sz w:val="24"/>
        </w:rPr>
        <w:t>”</w:t>
      </w:r>
      <w:r>
        <w:rPr>
          <w:rFonts w:hint="default" w:ascii="Times New Roman" w:eastAsia="楷体_GB2312" w:cs="Times New Roman"/>
          <w:bCs w:val="0"/>
          <w:sz w:val="24"/>
        </w:rPr>
        <w:t>后，</w:t>
      </w:r>
      <w:r>
        <w:rPr>
          <w:rFonts w:hint="default" w:eastAsia="楷体_GB2312"/>
          <w:bCs w:val="0"/>
          <w:sz w:val="24"/>
        </w:rPr>
        <w:t>“</w:t>
      </w:r>
      <w:r>
        <w:rPr>
          <w:rFonts w:hint="default" w:ascii="Times New Roman" w:eastAsia="楷体_GB2312" w:cs="Times New Roman"/>
          <w:bCs w:val="0"/>
          <w:sz w:val="24"/>
        </w:rPr>
        <w:t>优先级资产支持商业票据持有人</w:t>
      </w:r>
      <w:r>
        <w:rPr>
          <w:rFonts w:hint="default" w:eastAsia="楷体_GB2312"/>
          <w:bCs w:val="0"/>
          <w:sz w:val="24"/>
        </w:rPr>
        <w:t>”</w:t>
      </w:r>
      <w:r>
        <w:rPr>
          <w:rFonts w:hint="default" w:ascii="Times New Roman" w:eastAsia="楷体_GB2312" w:cs="Times New Roman"/>
          <w:bCs w:val="0"/>
          <w:sz w:val="24"/>
        </w:rPr>
        <w:t>仅为第</w:t>
      </w:r>
      <w:r>
        <w:rPr>
          <w:rFonts w:hint="default" w:eastAsia="楷体_GB2312"/>
          <w:bCs w:val="0"/>
          <w:sz w:val="24"/>
        </w:rPr>
        <w:t>N+1</w:t>
      </w:r>
      <w:r>
        <w:rPr>
          <w:rFonts w:hint="default" w:ascii="Times New Roman" w:eastAsia="楷体_GB2312" w:cs="Times New Roman"/>
          <w:bCs w:val="0"/>
          <w:sz w:val="24"/>
        </w:rPr>
        <w:t>期</w:t>
      </w:r>
      <w:r>
        <w:rPr>
          <w:rFonts w:hint="default" w:eastAsia="楷体_GB2312"/>
          <w:bCs w:val="0"/>
          <w:sz w:val="24"/>
        </w:rPr>
        <w:t>“</w:t>
      </w:r>
      <w:r>
        <w:rPr>
          <w:rFonts w:hint="default" w:ascii="Times New Roman" w:eastAsia="楷体_GB2312" w:cs="Times New Roman"/>
          <w:bCs w:val="0"/>
          <w:sz w:val="24"/>
        </w:rPr>
        <w:t>优先级资产支持商业票据持有人</w:t>
      </w:r>
      <w:r>
        <w:rPr>
          <w:rFonts w:hint="default" w:eastAsia="楷体_GB2312"/>
          <w:bCs w:val="0"/>
          <w:sz w:val="24"/>
        </w:rPr>
        <w:t>”</w:t>
      </w:r>
      <w:r>
        <w:rPr>
          <w:rFonts w:hint="default" w:ascii="Times New Roman" w:eastAsia="楷体_GB2312" w:cs="Times New Roman"/>
          <w:bCs w:val="0"/>
          <w:sz w:val="24"/>
        </w:rPr>
        <w:t>，以此类推。</w:t>
      </w:r>
    </w:p>
    <w:p>
      <w:pPr>
        <w:numPr>
          <w:ilvl w:val="1"/>
          <w:numId w:val="2"/>
        </w:numPr>
        <w:adjustRightInd w:val="0"/>
        <w:spacing w:beforeLines="50" w:afterLines="50" w:line="240" w:lineRule="atLeast"/>
        <w:ind w:left="0" w:firstLine="0"/>
        <w:textAlignment w:val="baseline"/>
        <w:rPr>
          <w:rFonts w:eastAsia="楷体_GB2312"/>
          <w:bCs/>
          <w:sz w:val="24"/>
        </w:rPr>
      </w:pPr>
      <w:r>
        <w:rPr>
          <w:rFonts w:hint="eastAsia" w:ascii="楷体_GB2312" w:eastAsia="楷体_GB2312" w:cs="楷体_GB2312"/>
          <w:b/>
          <w:sz w:val="24"/>
        </w:rPr>
        <w:t>次级资产支持商业票据持有人：</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次级资产支持商业票据</w:t>
      </w:r>
      <w:r>
        <w:rPr>
          <w:rFonts w:eastAsia="楷体_GB2312"/>
          <w:bCs/>
          <w:sz w:val="24"/>
        </w:rPr>
        <w:t>”</w:t>
      </w:r>
      <w:r>
        <w:rPr>
          <w:rFonts w:hint="eastAsia" w:ascii="楷体_GB2312" w:eastAsia="楷体_GB2312" w:cs="楷体_GB2312"/>
          <w:bCs/>
          <w:sz w:val="24"/>
        </w:rPr>
        <w:t>的持有人。</w:t>
      </w:r>
    </w:p>
    <w:p>
      <w:pPr>
        <w:pStyle w:val="13"/>
        <w:spacing w:beforeLines="50" w:afterLines="50" w:line="240" w:lineRule="atLeast"/>
        <w:outlineLvl w:val="2"/>
        <w:rPr>
          <w:rFonts w:eastAsia="楷体_GB2312"/>
          <w:b/>
        </w:rPr>
      </w:pPr>
      <w:r>
        <w:rPr>
          <w:rFonts w:eastAsia="楷体_GB2312"/>
          <w:b/>
        </w:rPr>
        <w:t>2</w:t>
      </w:r>
      <w:r>
        <w:rPr>
          <w:rFonts w:hint="eastAsia" w:ascii="楷体_GB2312" w:eastAsia="楷体_GB2312" w:cs="楷体_GB2312"/>
          <w:b/>
        </w:rPr>
        <w:t>、参与机构</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发行载体管理机构</w:t>
      </w:r>
      <w:r>
        <w:rPr>
          <w:rFonts w:hint="eastAsia" w:ascii="楷体_GB2312" w:eastAsia="楷体_GB2312" w:cs="楷体_GB2312"/>
          <w:bCs/>
          <w:sz w:val="24"/>
        </w:rPr>
        <w:t>：系指</w:t>
      </w:r>
      <w:r>
        <w:rPr>
          <w:rFonts w:hint="eastAsia" w:ascii="楷体_GB2312" w:eastAsia="楷体_GB2312" w:cs="楷体_GB2312"/>
          <w:sz w:val="24"/>
        </w:rPr>
        <w:t>【受托机构全称】，以及任何允许的继任机构</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牵头主承销商：</w:t>
      </w:r>
      <w:r>
        <w:rPr>
          <w:rFonts w:hint="eastAsia" w:ascii="楷体_GB2312" w:eastAsia="楷体_GB2312" w:cs="楷体_GB2312"/>
          <w:bCs/>
          <w:sz w:val="24"/>
        </w:rPr>
        <w:t>由于</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可在</w:t>
      </w:r>
      <w:r>
        <w:rPr>
          <w:rFonts w:eastAsia="楷体_GB2312"/>
          <w:bCs/>
          <w:sz w:val="24"/>
        </w:rPr>
        <w:t>“</w:t>
      </w:r>
      <w:r>
        <w:rPr>
          <w:rFonts w:hint="eastAsia" w:ascii="楷体_GB2312" w:eastAsia="楷体_GB2312" w:cs="楷体_GB2312"/>
          <w:bCs/>
          <w:sz w:val="24"/>
        </w:rPr>
        <w:t>信托期限</w:t>
      </w:r>
      <w:r>
        <w:rPr>
          <w:rFonts w:eastAsia="楷体_GB2312"/>
          <w:bCs/>
          <w:sz w:val="24"/>
        </w:rPr>
        <w:t>”</w:t>
      </w:r>
      <w:r>
        <w:rPr>
          <w:rFonts w:hint="eastAsia" w:ascii="楷体_GB2312" w:eastAsia="楷体_GB2312" w:cs="楷体_GB2312"/>
          <w:bCs/>
          <w:sz w:val="24"/>
        </w:rPr>
        <w:t>内</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，各期</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的牵头主承销商以</w:t>
      </w:r>
      <w:r>
        <w:rPr>
          <w:rFonts w:hint="eastAsia" w:ascii="楷体_GB2312" w:eastAsia="楷体_GB2312" w:cs="楷体_GB2312"/>
          <w:sz w:val="24"/>
        </w:rPr>
        <w:t>对应</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的记载为准。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簿记管理人：</w:t>
      </w:r>
      <w:r>
        <w:rPr>
          <w:rFonts w:hint="eastAsia" w:ascii="楷体_GB2312" w:eastAsia="楷体_GB2312" w:cs="楷体_GB2312"/>
          <w:bCs/>
          <w:sz w:val="24"/>
        </w:rPr>
        <w:t>由于</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可在</w:t>
      </w:r>
      <w:r>
        <w:rPr>
          <w:rFonts w:eastAsia="楷体_GB2312"/>
          <w:bCs/>
          <w:sz w:val="24"/>
        </w:rPr>
        <w:t>“</w:t>
      </w:r>
      <w:r>
        <w:rPr>
          <w:rFonts w:hint="eastAsia" w:ascii="楷体_GB2312" w:eastAsia="楷体_GB2312" w:cs="楷体_GB2312"/>
          <w:bCs/>
          <w:sz w:val="24"/>
        </w:rPr>
        <w:t>信托期限</w:t>
      </w:r>
      <w:r>
        <w:rPr>
          <w:rFonts w:eastAsia="楷体_GB2312"/>
          <w:bCs/>
          <w:sz w:val="24"/>
        </w:rPr>
        <w:t>”</w:t>
      </w:r>
      <w:r>
        <w:rPr>
          <w:rFonts w:hint="eastAsia" w:ascii="楷体_GB2312" w:eastAsia="楷体_GB2312" w:cs="楷体_GB2312"/>
          <w:bCs/>
          <w:sz w:val="24"/>
        </w:rPr>
        <w:t>内</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，各期</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的簿记管理人以</w:t>
      </w:r>
      <w:r>
        <w:rPr>
          <w:rFonts w:hint="eastAsia" w:ascii="楷体_GB2312" w:eastAsia="楷体_GB2312" w:cs="楷体_GB2312"/>
          <w:sz w:val="24"/>
        </w:rPr>
        <w:t>对应</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的记载为准。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联席主承销商</w:t>
      </w:r>
      <w:r>
        <w:rPr>
          <w:rFonts w:hint="eastAsia" w:ascii="楷体_GB2312" w:eastAsia="楷体_GB2312" w:cs="楷体_GB2312"/>
          <w:bCs/>
          <w:sz w:val="24"/>
        </w:rPr>
        <w:t>：由于</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可在</w:t>
      </w:r>
      <w:r>
        <w:rPr>
          <w:rFonts w:eastAsia="楷体_GB2312"/>
          <w:bCs/>
          <w:sz w:val="24"/>
        </w:rPr>
        <w:t>“</w:t>
      </w:r>
      <w:r>
        <w:rPr>
          <w:rFonts w:hint="eastAsia" w:ascii="楷体_GB2312" w:eastAsia="楷体_GB2312" w:cs="楷体_GB2312"/>
          <w:bCs/>
          <w:sz w:val="24"/>
        </w:rPr>
        <w:t>信托期限</w:t>
      </w:r>
      <w:r>
        <w:rPr>
          <w:rFonts w:eastAsia="楷体_GB2312"/>
          <w:bCs/>
          <w:sz w:val="24"/>
        </w:rPr>
        <w:t>”</w:t>
      </w:r>
      <w:r>
        <w:rPr>
          <w:rFonts w:hint="eastAsia" w:ascii="楷体_GB2312" w:eastAsia="楷体_GB2312" w:cs="楷体_GB2312"/>
          <w:bCs/>
          <w:sz w:val="24"/>
        </w:rPr>
        <w:t>内</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，各期</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的联席主承销商以</w:t>
      </w:r>
      <w:r>
        <w:rPr>
          <w:rFonts w:hint="eastAsia" w:ascii="楷体_GB2312" w:eastAsia="楷体_GB2312" w:cs="楷体_GB2312"/>
          <w:sz w:val="24"/>
        </w:rPr>
        <w:t>对应</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的记载为准。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主承销商：</w:t>
      </w:r>
      <w:r>
        <w:rPr>
          <w:rFonts w:hint="eastAsia" w:ascii="楷体_GB2312" w:eastAsia="楷体_GB2312" w:cs="楷体_GB2312"/>
          <w:bCs/>
          <w:sz w:val="24"/>
        </w:rPr>
        <w:t>统指</w:t>
      </w:r>
      <w:r>
        <w:rPr>
          <w:rFonts w:eastAsia="楷体_GB2312"/>
          <w:bCs/>
          <w:sz w:val="24"/>
        </w:rPr>
        <w:t>“</w:t>
      </w:r>
      <w:r>
        <w:rPr>
          <w:rFonts w:hint="eastAsia" w:ascii="楷体_GB2312" w:eastAsia="楷体_GB2312" w:cs="楷体_GB2312"/>
          <w:bCs/>
          <w:sz w:val="24"/>
        </w:rPr>
        <w:t>牵头主承销商</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联席主承销商</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承销团：</w:t>
      </w:r>
      <w:r>
        <w:rPr>
          <w:rFonts w:hint="eastAsia" w:ascii="楷体_GB2312" w:eastAsia="楷体_GB2312" w:cs="楷体_GB2312"/>
          <w:sz w:val="24"/>
        </w:rPr>
        <w:t>就某一期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的发行而言，系指</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《承销团协议》</w:t>
      </w:r>
      <w:r>
        <w:rPr>
          <w:rFonts w:eastAsia="楷体_GB2312"/>
          <w:sz w:val="24"/>
        </w:rPr>
        <w:t>”</w:t>
      </w:r>
      <w:r>
        <w:rPr>
          <w:rFonts w:hint="eastAsia" w:ascii="楷体_GB2312" w:eastAsia="楷体_GB2312" w:cs="楷体_GB2312"/>
          <w:sz w:val="24"/>
        </w:rPr>
        <w:t>组建的进行</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承销的包括</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和其他</w:t>
      </w:r>
      <w:r>
        <w:rPr>
          <w:rFonts w:eastAsia="楷体_GB2312"/>
          <w:sz w:val="24"/>
        </w:rPr>
        <w:t>“</w:t>
      </w:r>
      <w:r>
        <w:rPr>
          <w:rFonts w:hint="eastAsia" w:ascii="楷体_GB2312" w:eastAsia="楷体_GB2312" w:cs="楷体_GB2312"/>
          <w:sz w:val="24"/>
        </w:rPr>
        <w:t>承销商</w:t>
      </w:r>
      <w:r>
        <w:rPr>
          <w:rFonts w:eastAsia="楷体_GB2312"/>
          <w:sz w:val="24"/>
        </w:rPr>
        <w:t>”</w:t>
      </w:r>
      <w:r>
        <w:rPr>
          <w:rFonts w:hint="eastAsia" w:ascii="楷体_GB2312" w:eastAsia="楷体_GB2312" w:cs="楷体_GB2312"/>
          <w:sz w:val="24"/>
        </w:rPr>
        <w:t>在内的</w:t>
      </w:r>
      <w:r>
        <w:rPr>
          <w:rFonts w:eastAsia="楷体_GB2312"/>
          <w:sz w:val="24"/>
        </w:rPr>
        <w:t>“</w:t>
      </w:r>
      <w:r>
        <w:rPr>
          <w:rFonts w:hint="eastAsia" w:ascii="楷体_GB2312" w:eastAsia="楷体_GB2312" w:cs="楷体_GB2312"/>
          <w:sz w:val="24"/>
        </w:rPr>
        <w:t>承销商</w:t>
      </w:r>
      <w:r>
        <w:rPr>
          <w:rFonts w:eastAsia="楷体_GB2312"/>
          <w:sz w:val="24"/>
        </w:rPr>
        <w:t>”</w:t>
      </w:r>
      <w:r>
        <w:rPr>
          <w:rFonts w:hint="eastAsia" w:ascii="楷体_GB2312" w:eastAsia="楷体_GB2312" w:cs="楷体_GB2312"/>
          <w:sz w:val="24"/>
        </w:rPr>
        <w:t>组织（如有）。</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承销商</w:t>
      </w:r>
      <w:r>
        <w:rPr>
          <w:rFonts w:eastAsia="楷体_GB2312"/>
          <w:b/>
          <w:bCs/>
          <w:sz w:val="24"/>
        </w:rPr>
        <w:t>/</w:t>
      </w:r>
      <w:r>
        <w:rPr>
          <w:rFonts w:hint="eastAsia" w:ascii="楷体_GB2312" w:eastAsia="楷体_GB2312" w:cs="楷体_GB2312"/>
          <w:b/>
          <w:bCs/>
          <w:sz w:val="24"/>
        </w:rPr>
        <w:t>承销团成员：</w:t>
      </w:r>
      <w:r>
        <w:rPr>
          <w:rFonts w:hint="eastAsia" w:ascii="楷体_GB2312" w:eastAsia="楷体_GB2312" w:cs="楷体_GB2312"/>
          <w:sz w:val="24"/>
        </w:rPr>
        <w:t>就某一期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的发行而言，系指根据</w:t>
      </w:r>
      <w:r>
        <w:rPr>
          <w:rFonts w:eastAsia="楷体_GB2312"/>
          <w:sz w:val="24"/>
        </w:rPr>
        <w:t>“</w:t>
      </w:r>
      <w:r>
        <w:rPr>
          <w:rFonts w:hint="eastAsia" w:ascii="楷体_GB2312" w:eastAsia="楷体_GB2312" w:cs="楷体_GB2312"/>
          <w:sz w:val="24"/>
        </w:rPr>
        <w:t>《承销团协议》</w:t>
      </w:r>
      <w:r>
        <w:rPr>
          <w:rFonts w:eastAsia="楷体_GB2312"/>
          <w:sz w:val="24"/>
        </w:rPr>
        <w:t>”</w:t>
      </w:r>
      <w:r>
        <w:rPr>
          <w:rFonts w:hint="eastAsia" w:ascii="楷体_GB2312" w:eastAsia="楷体_GB2312" w:cs="楷体_GB2312"/>
          <w:sz w:val="24"/>
        </w:rPr>
        <w:t>负责承销</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的一家或多家承销机构（如有）。</w:t>
      </w:r>
    </w:p>
    <w:p>
      <w:pPr>
        <w:numPr>
          <w:ilvl w:val="-1"/>
          <w:numId w:val="0"/>
        </w:numPr>
        <w:adjustRightInd w:val="0"/>
        <w:spacing w:beforeLines="50" w:afterLines="50" w:line="240" w:lineRule="atLeast"/>
        <w:ind w:left="851" w:firstLine="0"/>
        <w:textAlignment w:val="baseline"/>
        <w:rPr>
          <w:rFonts w:eastAsia="楷体_GB2312"/>
          <w:sz w:val="24"/>
          <w:u w:val="single"/>
        </w:rPr>
      </w:pPr>
      <w:r>
        <w:rPr>
          <w:rFonts w:hint="eastAsia" w:ascii="楷体_GB2312" w:eastAsia="楷体_GB2312" w:cs="楷体_GB2312"/>
          <w:b/>
          <w:bCs/>
          <w:i/>
          <w:color w:val="FF0000"/>
          <w:sz w:val="24"/>
          <w:u w:val="single"/>
        </w:rPr>
        <w:t>牵头主承销商、联席主承销商</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rPr>
        <w:t>主承销商</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承销团和承销商</w:t>
      </w:r>
      <w:r>
        <w:rPr>
          <w:rFonts w:hint="eastAsia" w:ascii="楷体_GB2312" w:eastAsia="楷体_GB2312" w:cs="楷体_GB2312"/>
          <w:b/>
          <w:bCs/>
          <w:i/>
          <w:color w:val="FF0000"/>
          <w:sz w:val="24"/>
          <w:u w:val="single"/>
        </w:rPr>
        <w:t>定义</w:t>
      </w:r>
      <w:r>
        <w:rPr>
          <w:rFonts w:hint="eastAsia" w:ascii="楷体_GB2312" w:eastAsia="楷体_GB2312" w:cs="楷体_GB2312"/>
          <w:b/>
          <w:bCs/>
          <w:i/>
          <w:color w:val="FF0000"/>
          <w:sz w:val="24"/>
          <w:u w:val="single"/>
          <w:lang w:val="en-US" w:eastAsia="zh-CN"/>
        </w:rPr>
        <w:t>应</w:t>
      </w:r>
      <w:r>
        <w:rPr>
          <w:rFonts w:hint="eastAsia" w:ascii="楷体_GB2312" w:eastAsia="楷体_GB2312" w:cs="楷体_GB2312"/>
          <w:b/>
          <w:bCs/>
          <w:i/>
          <w:color w:val="FF0000"/>
          <w:sz w:val="24"/>
          <w:u w:val="single"/>
        </w:rPr>
        <w:t>根据实际情况</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下同</w:t>
      </w:r>
      <w:r>
        <w:rPr>
          <w:rFonts w:hint="eastAsia" w:ascii="楷体_GB2312" w:eastAsia="楷体_GB2312" w:cs="楷体_GB2312"/>
          <w:b/>
          <w:bCs/>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【差额支付承诺人】</w:t>
      </w:r>
      <w:r>
        <w:rPr>
          <w:rFonts w:eastAsia="楷体_GB2312"/>
          <w:b/>
          <w:sz w:val="24"/>
        </w:rPr>
        <w:t>/</w:t>
      </w:r>
      <w:r>
        <w:rPr>
          <w:rFonts w:hint="eastAsia" w:ascii="楷体_GB2312" w:eastAsia="楷体_GB2312" w:cs="楷体_GB2312"/>
          <w:b/>
          <w:sz w:val="24"/>
        </w:rPr>
        <w:t>【差额支付承诺人简称】：</w:t>
      </w:r>
      <w:r>
        <w:rPr>
          <w:rFonts w:hint="eastAsia" w:ascii="楷体_GB2312" w:eastAsia="楷体_GB2312" w:cs="楷体_GB2312"/>
          <w:sz w:val="24"/>
        </w:rPr>
        <w:t>系指【差额支付承诺人全称】。</w:t>
      </w:r>
    </w:p>
    <w:p>
      <w:pPr>
        <w:adjustRightInd w:val="0"/>
        <w:spacing w:beforeLines="50" w:afterLines="50" w:line="240" w:lineRule="atLeast"/>
        <w:ind w:left="851"/>
        <w:textAlignment w:val="baseline"/>
        <w:rPr>
          <w:rFonts w:eastAsia="楷体_GB2312"/>
          <w:sz w:val="24"/>
          <w:u w:val="single"/>
        </w:rPr>
      </w:pPr>
      <w:r>
        <w:rPr>
          <w:rFonts w:eastAsia="楷体_GB2312"/>
          <w:b/>
          <w:bCs/>
          <w:i/>
          <w:color w:val="FF0000"/>
          <w:sz w:val="24"/>
          <w:u w:val="single"/>
        </w:rPr>
        <w:t>1</w:t>
      </w:r>
      <w:r>
        <w:rPr>
          <w:rFonts w:hint="eastAsia" w:ascii="楷体_GB2312" w:eastAsia="楷体_GB2312" w:cs="楷体_GB2312"/>
          <w:b/>
          <w:bCs/>
          <w:i/>
          <w:color w:val="FF0000"/>
          <w:sz w:val="24"/>
          <w:u w:val="single"/>
        </w:rPr>
        <w:t>、差额支付承诺人（即项目的信用增级机构）的命名和定义</w:t>
      </w:r>
      <w:r>
        <w:rPr>
          <w:rFonts w:hint="eastAsia" w:ascii="楷体_GB2312" w:eastAsia="楷体_GB2312" w:cs="楷体_GB2312"/>
          <w:b/>
          <w:bCs/>
          <w:i/>
          <w:color w:val="FF0000"/>
          <w:sz w:val="24"/>
          <w:u w:val="single"/>
          <w:lang w:val="en-US" w:eastAsia="zh-CN"/>
        </w:rPr>
        <w:t>应</w:t>
      </w:r>
      <w:r>
        <w:rPr>
          <w:rFonts w:hint="eastAsia" w:ascii="楷体_GB2312" w:eastAsia="楷体_GB2312" w:cs="楷体_GB2312"/>
          <w:b/>
          <w:bCs/>
          <w:i/>
          <w:color w:val="FF0000"/>
          <w:sz w:val="24"/>
          <w:u w:val="single"/>
        </w:rPr>
        <w:t>根据实际情况修改。</w:t>
      </w:r>
      <w:r>
        <w:rPr>
          <w:rFonts w:eastAsia="楷体_GB2312"/>
          <w:b/>
          <w:bCs/>
          <w:i/>
          <w:color w:val="FF0000"/>
          <w:sz w:val="24"/>
          <w:u w:val="single"/>
        </w:rPr>
        <w:t>2</w:t>
      </w:r>
      <w:r>
        <w:rPr>
          <w:rFonts w:hint="eastAsia" w:ascii="楷体_GB2312" w:eastAsia="楷体_GB2312" w:cs="楷体_GB2312"/>
          <w:b/>
          <w:bCs/>
          <w:i/>
          <w:color w:val="FF0000"/>
          <w:sz w:val="24"/>
          <w:u w:val="single"/>
        </w:rPr>
        <w:t>、若信用增级机构为发起机构，相关定义及条款需进行</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rPr>
        <w:t>，下同。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资产服务机构：</w:t>
      </w:r>
      <w:r>
        <w:rPr>
          <w:rFonts w:hint="eastAsia" w:ascii="楷体_GB2312" w:eastAsia="楷体_GB2312" w:cs="楷体_GB2312"/>
          <w:bCs/>
          <w:sz w:val="24"/>
        </w:rPr>
        <w:t>系</w:t>
      </w:r>
      <w:r>
        <w:rPr>
          <w:rFonts w:hint="eastAsia" w:ascii="楷体_GB2312" w:eastAsia="楷体_GB2312" w:cs="楷体_GB2312"/>
          <w:sz w:val="24"/>
        </w:rPr>
        <w:t>指作为</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项下的资产服务机构的</w:t>
      </w:r>
      <w:r>
        <w:rPr>
          <w:rFonts w:eastAsia="楷体_GB2312"/>
          <w:sz w:val="24"/>
        </w:rPr>
        <w:t>“</w:t>
      </w:r>
      <w:r>
        <w:rPr>
          <w:rFonts w:hint="eastAsia" w:ascii="楷体_GB2312" w:eastAsia="楷体_GB2312" w:cs="楷体_GB2312"/>
          <w:sz w:val="24"/>
        </w:rPr>
        <w:t>【发起机构简称】</w:t>
      </w:r>
      <w:r>
        <w:rPr>
          <w:rFonts w:eastAsia="楷体_GB2312"/>
          <w:sz w:val="24"/>
        </w:rPr>
        <w:t>”</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允许的继任机构</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后备资产服务机构：</w:t>
      </w:r>
      <w:r>
        <w:rPr>
          <w:rFonts w:hint="eastAsia" w:ascii="楷体_GB2312" w:eastAsia="楷体_GB2312" w:cs="楷体_GB2312"/>
          <w:kern w:val="0"/>
          <w:sz w:val="24"/>
        </w:rPr>
        <w:t>系指</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任命的</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，以及任何允许的继任机构。</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替代资产服务机构：</w:t>
      </w:r>
      <w:r>
        <w:rPr>
          <w:rFonts w:hint="eastAsia" w:ascii="楷体_GB2312" w:eastAsia="楷体_GB2312" w:cs="楷体_GB2312"/>
          <w:kern w:val="0"/>
          <w:sz w:val="24"/>
        </w:rPr>
        <w:t>系指</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任命的</w:t>
      </w:r>
      <w:r>
        <w:rPr>
          <w:rFonts w:eastAsia="楷体_GB2312"/>
          <w:kern w:val="0"/>
          <w:sz w:val="24"/>
        </w:rPr>
        <w:t>“</w:t>
      </w:r>
      <w:r>
        <w:rPr>
          <w:rFonts w:hint="eastAsia" w:ascii="楷体_GB2312" w:eastAsia="楷体_GB2312" w:cs="楷体_GB2312"/>
          <w:kern w:val="0"/>
          <w:sz w:val="24"/>
        </w:rPr>
        <w:t>替代资产服务机构</w:t>
      </w:r>
      <w:r>
        <w:rPr>
          <w:rFonts w:eastAsia="楷体_GB2312"/>
          <w:kern w:val="0"/>
          <w:sz w:val="24"/>
        </w:rPr>
        <w:t>”</w:t>
      </w:r>
      <w:r>
        <w:rPr>
          <w:rFonts w:hint="eastAsia" w:ascii="楷体_GB2312" w:eastAsia="楷体_GB2312" w:cs="楷体_GB2312"/>
          <w:kern w:val="0"/>
          <w:sz w:val="24"/>
        </w:rPr>
        <w:t>，</w:t>
      </w:r>
      <w:r>
        <w:rPr>
          <w:rFonts w:hint="eastAsia" w:ascii="楷体_GB2312" w:eastAsia="楷体_GB2312" w:cs="楷体_GB2312"/>
          <w:sz w:val="24"/>
        </w:rPr>
        <w:t>以及</w:t>
      </w:r>
      <w:r>
        <w:rPr>
          <w:rFonts w:hint="eastAsia" w:ascii="楷体_GB2312" w:eastAsia="楷体_GB2312" w:cs="楷体_GB2312"/>
          <w:kern w:val="0"/>
          <w:sz w:val="24"/>
        </w:rPr>
        <w:t>任何允许的继任机构。</w:t>
      </w:r>
    </w:p>
    <w:p>
      <w:pPr>
        <w:numPr>
          <w:ilvl w:val="-1"/>
          <w:numId w:val="0"/>
        </w:numPr>
        <w:adjustRightInd w:val="0"/>
        <w:spacing w:beforeLines="50" w:afterLines="50" w:line="240" w:lineRule="atLeast"/>
        <w:ind w:left="851" w:firstLine="0"/>
        <w:textAlignment w:val="baseline"/>
        <w:rPr>
          <w:rFonts w:eastAsia="楷体_GB2312"/>
          <w:sz w:val="24"/>
          <w:u w:val="single"/>
        </w:rPr>
      </w:pPr>
      <w:r>
        <w:rPr>
          <w:rFonts w:hint="eastAsia" w:ascii="楷体_GB2312" w:eastAsia="楷体_GB2312" w:cs="楷体_GB2312"/>
          <w:b/>
          <w:bCs/>
          <w:i/>
          <w:color w:val="FF0000"/>
          <w:sz w:val="24"/>
          <w:u w:val="single"/>
        </w:rPr>
        <w:t>资产服务机构</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后备资产服务机构和替代资产服务机构</w:t>
      </w:r>
      <w:r>
        <w:rPr>
          <w:rFonts w:hint="eastAsia" w:ascii="楷体_GB2312" w:eastAsia="楷体_GB2312" w:cs="楷体_GB2312"/>
          <w:b/>
          <w:bCs/>
          <w:i/>
          <w:color w:val="FF0000"/>
          <w:sz w:val="24"/>
          <w:u w:val="single"/>
        </w:rPr>
        <w:t>的</w:t>
      </w:r>
      <w:r>
        <w:rPr>
          <w:rFonts w:hint="eastAsia" w:ascii="楷体_GB2312" w:eastAsia="楷体_GB2312" w:cs="楷体_GB2312"/>
          <w:b/>
          <w:bCs/>
          <w:i/>
          <w:color w:val="FF0000"/>
          <w:sz w:val="24"/>
          <w:u w:val="single"/>
          <w:lang w:val="en-US" w:eastAsia="zh-CN"/>
        </w:rPr>
        <w:t>选择、</w:t>
      </w:r>
      <w:r>
        <w:rPr>
          <w:rFonts w:hint="eastAsia" w:ascii="楷体_GB2312" w:eastAsia="楷体_GB2312" w:cs="楷体_GB2312"/>
          <w:b/>
          <w:bCs/>
          <w:i/>
          <w:color w:val="FF0000"/>
          <w:sz w:val="24"/>
          <w:u w:val="single"/>
        </w:rPr>
        <w:t>命名和定义</w:t>
      </w:r>
      <w:r>
        <w:rPr>
          <w:rFonts w:hint="eastAsia" w:ascii="楷体_GB2312" w:eastAsia="楷体_GB2312" w:cs="楷体_GB2312"/>
          <w:b/>
          <w:bCs/>
          <w:i/>
          <w:color w:val="FF0000"/>
          <w:sz w:val="24"/>
          <w:u w:val="single"/>
          <w:lang w:val="en-US" w:eastAsia="zh-CN"/>
        </w:rPr>
        <w:t>应根据</w:t>
      </w:r>
      <w:r>
        <w:rPr>
          <w:rFonts w:hint="eastAsia" w:ascii="楷体_GB2312" w:eastAsia="楷体_GB2312" w:cs="楷体_GB2312"/>
          <w:b/>
          <w:bCs/>
          <w:i/>
          <w:color w:val="FF0000"/>
          <w:sz w:val="24"/>
          <w:u w:val="single"/>
        </w:rPr>
        <w:t>实际情况修改</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下同</w:t>
      </w:r>
      <w:r>
        <w:rPr>
          <w:rFonts w:hint="eastAsia" w:ascii="楷体_GB2312" w:eastAsia="楷体_GB2312" w:cs="楷体_GB2312"/>
          <w:b/>
          <w:bCs/>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资金保管机构：</w:t>
      </w:r>
      <w:r>
        <w:rPr>
          <w:rFonts w:hint="eastAsia" w:ascii="楷体_GB2312" w:eastAsia="楷体_GB2312" w:cs="楷体_GB2312"/>
          <w:sz w:val="24"/>
        </w:rPr>
        <w:t>系指</w:t>
      </w:r>
      <w:r>
        <w:rPr>
          <w:rFonts w:hint="eastAsia" w:ascii="楷体_GB2312" w:eastAsia="楷体_GB2312" w:cs="楷体_GB2312"/>
          <w:bCs/>
          <w:sz w:val="24"/>
        </w:rPr>
        <w:t>【资金保管机构全称】</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允许的继任机构。</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替代资金保管机构：</w:t>
      </w:r>
      <w:r>
        <w:rPr>
          <w:rFonts w:hint="eastAsia" w:ascii="楷体_GB2312" w:eastAsia="楷体_GB2312" w:cs="楷体_GB2312"/>
          <w:kern w:val="0"/>
          <w:sz w:val="24"/>
        </w:rPr>
        <w:t>系指</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《资金保管合同》</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任命的</w:t>
      </w:r>
      <w:r>
        <w:rPr>
          <w:rFonts w:eastAsia="楷体_GB2312"/>
          <w:bCs/>
          <w:sz w:val="24"/>
        </w:rPr>
        <w:t>“</w:t>
      </w:r>
      <w:r>
        <w:rPr>
          <w:rFonts w:hint="eastAsia" w:ascii="楷体_GB2312" w:eastAsia="楷体_GB2312" w:cs="楷体_GB2312"/>
          <w:kern w:val="0"/>
          <w:sz w:val="24"/>
        </w:rPr>
        <w:t>资金保管机构</w:t>
      </w:r>
      <w:r>
        <w:rPr>
          <w:rFonts w:eastAsia="楷体_GB2312"/>
          <w:bCs/>
          <w:sz w:val="24"/>
        </w:rPr>
        <w:t>”</w:t>
      </w:r>
      <w:r>
        <w:rPr>
          <w:rFonts w:hint="eastAsia" w:ascii="楷体_GB2312" w:eastAsia="楷体_GB2312" w:cs="楷体_GB2312"/>
          <w:kern w:val="0"/>
          <w:sz w:val="24"/>
        </w:rPr>
        <w:t>，以及任何允许的继任机构。</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资金监管机构：</w:t>
      </w:r>
      <w:r>
        <w:rPr>
          <w:rFonts w:hint="eastAsia" w:ascii="楷体_GB2312" w:eastAsia="楷体_GB2312" w:cs="楷体_GB2312"/>
          <w:sz w:val="24"/>
        </w:rPr>
        <w:t>系指</w:t>
      </w:r>
      <w:r>
        <w:rPr>
          <w:rFonts w:hint="eastAsia" w:ascii="楷体_GB2312" w:eastAsia="楷体_GB2312" w:cs="楷体_GB2312"/>
          <w:bCs/>
          <w:sz w:val="24"/>
        </w:rPr>
        <w:t>【资金监管机构全称】</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《资金监管合同》</w:t>
      </w:r>
      <w:r>
        <w:rPr>
          <w:rFonts w:eastAsia="楷体_GB2312"/>
          <w:sz w:val="24"/>
        </w:rPr>
        <w:t>”</w:t>
      </w:r>
      <w:r>
        <w:rPr>
          <w:rFonts w:hint="eastAsia" w:ascii="楷体_GB2312" w:eastAsia="楷体_GB2312" w:cs="楷体_GB2312"/>
          <w:sz w:val="24"/>
        </w:rPr>
        <w:t>允许的继任机构。</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kern w:val="0"/>
          <w:sz w:val="24"/>
        </w:rPr>
        <w:t>替代资金监管机构：</w:t>
      </w:r>
      <w:r>
        <w:rPr>
          <w:rFonts w:hint="eastAsia" w:ascii="楷体_GB2312" w:eastAsia="楷体_GB2312" w:cs="楷体_GB2312"/>
          <w:kern w:val="0"/>
          <w:sz w:val="24"/>
        </w:rPr>
        <w:t>系指“资产服务机构”和</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w:t>
      </w:r>
      <w:r>
        <w:rPr>
          <w:rFonts w:hint="eastAsia" w:ascii="楷体_GB2312" w:eastAsia="楷体_GB2312" w:cs="楷体_GB2312"/>
          <w:sz w:val="24"/>
        </w:rPr>
        <w:t>资金监管合同</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任命的</w:t>
      </w:r>
      <w:r>
        <w:rPr>
          <w:rFonts w:eastAsia="楷体_GB2312"/>
          <w:bCs/>
          <w:sz w:val="24"/>
        </w:rPr>
        <w:t>“</w:t>
      </w:r>
      <w:r>
        <w:rPr>
          <w:rFonts w:hint="eastAsia" w:ascii="楷体_GB2312" w:eastAsia="楷体_GB2312" w:cs="楷体_GB2312"/>
          <w:kern w:val="0"/>
          <w:sz w:val="24"/>
        </w:rPr>
        <w:t>替代资金监管机构</w:t>
      </w:r>
      <w:r>
        <w:rPr>
          <w:rFonts w:eastAsia="楷体_GB2312"/>
          <w:bCs/>
          <w:sz w:val="24"/>
        </w:rPr>
        <w:t>”</w:t>
      </w:r>
      <w:r>
        <w:rPr>
          <w:rFonts w:hint="eastAsia" w:ascii="楷体_GB2312" w:eastAsia="楷体_GB2312" w:cs="楷体_GB2312"/>
          <w:kern w:val="0"/>
          <w:sz w:val="24"/>
        </w:rPr>
        <w:t>，以及任何允许的继任机构。</w:t>
      </w:r>
    </w:p>
    <w:p>
      <w:pPr>
        <w:adjustRightInd w:val="0"/>
        <w:spacing w:beforeLines="50" w:afterLines="50" w:line="240" w:lineRule="atLeast"/>
        <w:ind w:left="851"/>
        <w:textAlignment w:val="baseline"/>
        <w:rPr>
          <w:rFonts w:eastAsia="楷体_GB2312"/>
          <w:b/>
          <w:bCs/>
          <w:i/>
          <w:color w:val="FF0000"/>
          <w:sz w:val="24"/>
          <w:u w:val="single"/>
        </w:rPr>
      </w:pPr>
      <w:r>
        <w:rPr>
          <w:rFonts w:hint="eastAsia" w:ascii="楷体_GB2312" w:eastAsia="楷体_GB2312" w:cs="楷体_GB2312"/>
          <w:b/>
          <w:bCs/>
          <w:i/>
          <w:color w:val="FF0000"/>
          <w:sz w:val="24"/>
          <w:u w:val="single"/>
        </w:rPr>
        <w:t>是否设置资金监管可</w:t>
      </w:r>
      <w:r>
        <w:rPr>
          <w:rFonts w:hint="eastAsia" w:ascii="楷体_GB2312" w:eastAsia="楷体_GB2312" w:cs="楷体_GB2312"/>
          <w:b/>
          <w:bCs/>
          <w:i/>
          <w:color w:val="FF0000"/>
          <w:sz w:val="24"/>
          <w:u w:val="single"/>
          <w:lang w:val="en-US" w:eastAsia="zh-CN"/>
        </w:rPr>
        <w:t>根据</w:t>
      </w:r>
      <w:r>
        <w:rPr>
          <w:rFonts w:hint="eastAsia" w:ascii="楷体_GB2312" w:eastAsia="楷体_GB2312" w:cs="楷体_GB2312"/>
          <w:b/>
          <w:bCs/>
          <w:i/>
          <w:color w:val="FF0000"/>
          <w:sz w:val="24"/>
          <w:u w:val="single"/>
        </w:rPr>
        <w:t>实际情况选择，如不涉及则</w:t>
      </w:r>
      <w:r>
        <w:rPr>
          <w:rFonts w:hint="eastAsia" w:ascii="楷体_GB2312" w:eastAsia="楷体_GB2312" w:cs="楷体_GB2312"/>
          <w:b/>
          <w:bCs/>
          <w:i/>
          <w:color w:val="FF0000"/>
          <w:sz w:val="24"/>
          <w:u w:val="single"/>
          <w:lang w:val="en-US" w:eastAsia="zh-CN"/>
        </w:rPr>
        <w:t>应修改、</w:t>
      </w:r>
      <w:r>
        <w:rPr>
          <w:rFonts w:hint="eastAsia" w:ascii="楷体_GB2312" w:eastAsia="楷体_GB2312" w:cs="楷体_GB2312"/>
          <w:b/>
          <w:bCs/>
          <w:i/>
          <w:color w:val="FF0000"/>
          <w:sz w:val="24"/>
          <w:u w:val="single"/>
        </w:rPr>
        <w:t>删除相关定义</w:t>
      </w:r>
      <w:r>
        <w:rPr>
          <w:rFonts w:hint="eastAsia" w:ascii="楷体_GB2312" w:eastAsia="楷体_GB2312" w:cs="楷体_GB2312"/>
          <w:b/>
          <w:bCs/>
          <w:i/>
          <w:color w:val="FF0000"/>
          <w:sz w:val="24"/>
          <w:u w:val="single"/>
          <w:lang w:val="en-US" w:eastAsia="zh-CN"/>
        </w:rPr>
        <w:t>和条款</w:t>
      </w:r>
      <w:r>
        <w:rPr>
          <w:rFonts w:hint="eastAsia" w:ascii="楷体_GB2312" w:eastAsia="楷体_GB2312" w:cs="楷体_GB2312"/>
          <w:b/>
          <w:bCs/>
          <w:i/>
          <w:color w:val="FF0000"/>
          <w:sz w:val="24"/>
          <w:u w:val="single"/>
        </w:rPr>
        <w:t>，下同。</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审计师：</w:t>
      </w:r>
      <w:r>
        <w:rPr>
          <w:rFonts w:hint="eastAsia" w:ascii="楷体_GB2312" w:eastAsia="楷体_GB2312" w:cs="楷体_GB2312"/>
          <w:kern w:val="0"/>
          <w:sz w:val="24"/>
        </w:rPr>
        <w:t>系指由</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kern w:val="0"/>
          <w:sz w:val="24"/>
        </w:rPr>
        <w:t>认可，为</w:t>
      </w:r>
      <w:r>
        <w:rPr>
          <w:rFonts w:eastAsia="楷体_GB2312"/>
          <w:sz w:val="24"/>
        </w:rPr>
        <w:t>“</w:t>
      </w:r>
      <w:r>
        <w:rPr>
          <w:rFonts w:hint="eastAsia" w:ascii="楷体_GB2312" w:eastAsia="楷体_GB2312" w:cs="楷体_GB2312"/>
          <w:kern w:val="0"/>
          <w:sz w:val="24"/>
        </w:rPr>
        <w:t>信托</w:t>
      </w:r>
      <w:r>
        <w:rPr>
          <w:rFonts w:eastAsia="楷体_GB2312"/>
          <w:sz w:val="24"/>
        </w:rPr>
        <w:t>”</w:t>
      </w:r>
      <w:r>
        <w:rPr>
          <w:rFonts w:hint="eastAsia" w:ascii="楷体_GB2312" w:eastAsia="楷体_GB2312" w:cs="楷体_GB2312"/>
          <w:kern w:val="0"/>
          <w:sz w:val="24"/>
        </w:rPr>
        <w:t>提供审计服务的会计师事务所。</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评级机构：</w:t>
      </w:r>
      <w:r>
        <w:rPr>
          <w:rFonts w:hint="eastAsia" w:ascii="楷体_GB2312" w:eastAsia="楷体_GB2312" w:cs="楷体_GB2312"/>
          <w:sz w:val="24"/>
        </w:rPr>
        <w:t>系指【评级机构全称】。</w:t>
      </w:r>
    </w:p>
    <w:p>
      <w:pPr>
        <w:adjustRightInd w:val="0"/>
        <w:spacing w:beforeLines="50" w:afterLines="50" w:line="240" w:lineRule="atLeast"/>
        <w:ind w:left="851"/>
        <w:textAlignment w:val="baseline"/>
        <w:rPr>
          <w:rFonts w:eastAsia="楷体_GB2312"/>
          <w:sz w:val="24"/>
          <w:u w:val="single"/>
        </w:rPr>
      </w:pPr>
      <w:r>
        <w:rPr>
          <w:rFonts w:hint="eastAsia" w:ascii="楷体_GB2312" w:eastAsia="楷体_GB2312" w:cs="楷体_GB2312"/>
          <w:b/>
          <w:i/>
          <w:color w:val="FF0000"/>
          <w:sz w:val="24"/>
          <w:u w:val="single"/>
        </w:rPr>
        <w:t>是否聘请评级机构</w:t>
      </w:r>
      <w:r>
        <w:rPr>
          <w:rFonts w:hint="eastAsia" w:ascii="楷体_GB2312" w:eastAsia="楷体_GB2312" w:cs="楷体_GB2312"/>
          <w:b/>
          <w:bCs/>
          <w:i/>
          <w:color w:val="FF0000"/>
          <w:sz w:val="24"/>
          <w:u w:val="single"/>
          <w:lang w:val="en-US" w:eastAsia="zh-CN"/>
        </w:rPr>
        <w:t>应根据</w:t>
      </w:r>
      <w:r>
        <w:rPr>
          <w:rFonts w:hint="eastAsia" w:ascii="楷体_GB2312" w:eastAsia="楷体_GB2312" w:cs="楷体_GB2312"/>
          <w:b/>
          <w:bCs/>
          <w:i/>
          <w:color w:val="FF0000"/>
          <w:sz w:val="24"/>
          <w:u w:val="single"/>
        </w:rPr>
        <w:t>实际情况</w:t>
      </w:r>
      <w:r>
        <w:rPr>
          <w:rFonts w:hint="eastAsia" w:ascii="楷体_GB2312" w:eastAsia="楷体_GB2312" w:cs="楷体_GB2312"/>
          <w:b/>
          <w:bCs/>
          <w:i/>
          <w:color w:val="FF0000"/>
          <w:sz w:val="24"/>
          <w:u w:val="single"/>
          <w:lang w:val="en-US" w:eastAsia="zh-CN"/>
        </w:rPr>
        <w:t>确定</w:t>
      </w:r>
      <w:r>
        <w:rPr>
          <w:rFonts w:hint="eastAsia" w:ascii="楷体_GB2312" w:eastAsia="楷体_GB2312" w:cs="楷体_GB2312"/>
          <w:b/>
          <w:i/>
          <w:color w:val="FF0000"/>
          <w:sz w:val="24"/>
          <w:u w:val="single"/>
        </w:rPr>
        <w:t>，如不涉及则</w:t>
      </w:r>
      <w:r>
        <w:rPr>
          <w:rFonts w:hint="eastAsia" w:ascii="楷体_GB2312" w:eastAsia="楷体_GB2312" w:cs="楷体_GB2312"/>
          <w:b/>
          <w:i/>
          <w:color w:val="FF0000"/>
          <w:sz w:val="24"/>
          <w:u w:val="single"/>
          <w:lang w:val="en-US" w:eastAsia="zh-CN"/>
        </w:rPr>
        <w:t>应修改、</w:t>
      </w:r>
      <w:r>
        <w:rPr>
          <w:rFonts w:hint="eastAsia" w:ascii="楷体_GB2312" w:eastAsia="楷体_GB2312" w:cs="楷体_GB2312"/>
          <w:b/>
          <w:i/>
          <w:color w:val="FF0000"/>
          <w:sz w:val="24"/>
          <w:u w:val="single"/>
        </w:rPr>
        <w:t>删除</w:t>
      </w:r>
      <w:r>
        <w:rPr>
          <w:rFonts w:hint="eastAsia" w:ascii="楷体_GB2312" w:eastAsia="楷体_GB2312" w:cs="楷体_GB2312"/>
          <w:b/>
          <w:i/>
          <w:color w:val="FF0000"/>
          <w:sz w:val="24"/>
          <w:u w:val="single"/>
          <w:lang w:val="en-US" w:eastAsia="zh-CN"/>
        </w:rPr>
        <w:t>相关</w:t>
      </w:r>
      <w:r>
        <w:rPr>
          <w:rFonts w:hint="eastAsia" w:ascii="楷体_GB2312" w:eastAsia="楷体_GB2312" w:cs="楷体_GB2312"/>
          <w:b/>
          <w:i/>
          <w:color w:val="FF0000"/>
          <w:sz w:val="24"/>
          <w:u w:val="single"/>
        </w:rPr>
        <w:t>定义</w:t>
      </w:r>
      <w:r>
        <w:rPr>
          <w:rFonts w:hint="eastAsia" w:ascii="楷体_GB2312" w:eastAsia="楷体_GB2312" w:cs="楷体_GB2312"/>
          <w:b/>
          <w:i/>
          <w:color w:val="FF0000"/>
          <w:sz w:val="24"/>
          <w:u w:val="single"/>
          <w:lang w:val="en-US" w:eastAsia="zh-CN"/>
        </w:rPr>
        <w:t>和条款</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现金流评估预测机构：</w:t>
      </w:r>
      <w:r>
        <w:rPr>
          <w:rFonts w:hint="eastAsia" w:ascii="楷体_GB2312" w:eastAsia="楷体_GB2312" w:cs="楷体_GB2312"/>
          <w:sz w:val="24"/>
        </w:rPr>
        <w:t>系指【</w:t>
      </w:r>
      <w:r>
        <w:rPr>
          <w:rFonts w:hint="eastAsia" w:ascii="楷体_GB2312" w:eastAsia="楷体_GB2312" w:cs="楷体_GB2312"/>
          <w:bCs/>
          <w:sz w:val="24"/>
        </w:rPr>
        <w:t>现金流评估预测机构</w:t>
      </w:r>
      <w:r>
        <w:rPr>
          <w:rFonts w:hint="eastAsia" w:ascii="楷体_GB2312" w:eastAsia="楷体_GB2312" w:cs="楷体_GB2312"/>
          <w:sz w:val="24"/>
        </w:rPr>
        <w:t>全称】。</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是否聘请现金流评估预测机构</w:t>
      </w:r>
      <w:r>
        <w:rPr>
          <w:rFonts w:hint="eastAsia" w:ascii="楷体_GB2312" w:eastAsia="楷体_GB2312" w:cs="楷体_GB2312"/>
          <w:b/>
          <w:bCs/>
          <w:i/>
          <w:color w:val="FF0000"/>
          <w:sz w:val="24"/>
          <w:u w:val="single"/>
          <w:lang w:val="en-US" w:eastAsia="zh-CN"/>
        </w:rPr>
        <w:t>应根据</w:t>
      </w:r>
      <w:r>
        <w:rPr>
          <w:rFonts w:hint="eastAsia" w:ascii="楷体_GB2312" w:eastAsia="楷体_GB2312" w:cs="楷体_GB2312"/>
          <w:b/>
          <w:bCs/>
          <w:i/>
          <w:color w:val="FF0000"/>
          <w:sz w:val="24"/>
          <w:u w:val="single"/>
        </w:rPr>
        <w:t>实际情况</w:t>
      </w:r>
      <w:r>
        <w:rPr>
          <w:rFonts w:hint="eastAsia" w:ascii="楷体_GB2312" w:eastAsia="楷体_GB2312" w:cs="楷体_GB2312"/>
          <w:b/>
          <w:bCs/>
          <w:i/>
          <w:color w:val="FF0000"/>
          <w:sz w:val="24"/>
          <w:u w:val="single"/>
          <w:lang w:val="en-US" w:eastAsia="zh-CN"/>
        </w:rPr>
        <w:t>确定</w:t>
      </w:r>
      <w:r>
        <w:rPr>
          <w:rFonts w:hint="eastAsia" w:ascii="楷体_GB2312" w:eastAsia="楷体_GB2312" w:cs="楷体_GB2312"/>
          <w:b/>
          <w:i/>
          <w:color w:val="FF0000"/>
          <w:sz w:val="24"/>
          <w:u w:val="single"/>
        </w:rPr>
        <w:t>，如不涉及则</w:t>
      </w:r>
      <w:r>
        <w:rPr>
          <w:rFonts w:hint="eastAsia" w:ascii="楷体_GB2312" w:eastAsia="楷体_GB2312" w:cs="楷体_GB2312"/>
          <w:b/>
          <w:i/>
          <w:color w:val="FF0000"/>
          <w:sz w:val="24"/>
          <w:u w:val="single"/>
          <w:lang w:val="en-US" w:eastAsia="zh-CN"/>
        </w:rPr>
        <w:t>应修改、</w:t>
      </w:r>
      <w:r>
        <w:rPr>
          <w:rFonts w:hint="eastAsia" w:ascii="楷体_GB2312" w:eastAsia="楷体_GB2312" w:cs="楷体_GB2312"/>
          <w:b/>
          <w:i/>
          <w:color w:val="FF0000"/>
          <w:sz w:val="24"/>
          <w:u w:val="single"/>
        </w:rPr>
        <w:t>删除</w:t>
      </w:r>
      <w:r>
        <w:rPr>
          <w:rFonts w:hint="eastAsia" w:ascii="楷体_GB2312" w:eastAsia="楷体_GB2312" w:cs="楷体_GB2312"/>
          <w:b/>
          <w:i/>
          <w:color w:val="FF0000"/>
          <w:sz w:val="24"/>
          <w:u w:val="single"/>
          <w:lang w:val="en-US" w:eastAsia="zh-CN"/>
        </w:rPr>
        <w:t>相关</w:t>
      </w:r>
      <w:r>
        <w:rPr>
          <w:rFonts w:hint="eastAsia" w:ascii="楷体_GB2312" w:eastAsia="楷体_GB2312" w:cs="楷体_GB2312"/>
          <w:b/>
          <w:i/>
          <w:color w:val="FF0000"/>
          <w:sz w:val="24"/>
          <w:u w:val="single"/>
        </w:rPr>
        <w:t>定义</w:t>
      </w:r>
      <w:r>
        <w:rPr>
          <w:rFonts w:hint="eastAsia" w:ascii="楷体_GB2312" w:eastAsia="楷体_GB2312" w:cs="楷体_GB2312"/>
          <w:b/>
          <w:i/>
          <w:color w:val="FF0000"/>
          <w:sz w:val="24"/>
          <w:u w:val="single"/>
          <w:lang w:val="en-US" w:eastAsia="zh-CN"/>
        </w:rPr>
        <w:t>和条款</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法律顾问：</w:t>
      </w:r>
      <w:r>
        <w:rPr>
          <w:rFonts w:hint="eastAsia" w:ascii="楷体_GB2312" w:eastAsia="楷体_GB2312" w:cs="楷体_GB2312"/>
          <w:sz w:val="24"/>
        </w:rPr>
        <w:t>系指【法律顾问全称】。</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上海清算所：</w:t>
      </w:r>
      <w:r>
        <w:rPr>
          <w:rFonts w:hint="eastAsia" w:ascii="楷体_GB2312" w:eastAsia="楷体_GB2312" w:cs="楷体_GB2312"/>
          <w:bCs/>
          <w:sz w:val="24"/>
        </w:rPr>
        <w:t>系指银行间市场清算所股份有限公司。</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登记托管机构：</w:t>
      </w:r>
      <w:r>
        <w:rPr>
          <w:rFonts w:hint="eastAsia" w:ascii="楷体_GB2312" w:eastAsia="楷体_GB2312" w:cs="楷体_GB2312"/>
          <w:bCs/>
          <w:sz w:val="24"/>
        </w:rPr>
        <w:t>系指</w:t>
      </w:r>
      <w:r>
        <w:rPr>
          <w:rFonts w:eastAsia="楷体_GB2312"/>
          <w:sz w:val="24"/>
        </w:rPr>
        <w:t>“</w:t>
      </w:r>
      <w:r>
        <w:rPr>
          <w:rFonts w:hint="eastAsia" w:ascii="楷体_GB2312" w:eastAsia="楷体_GB2312" w:cs="楷体_GB2312"/>
          <w:sz w:val="24"/>
        </w:rPr>
        <w:t>上海清算所</w:t>
      </w:r>
      <w:r>
        <w:rPr>
          <w:rFonts w:eastAsia="楷体_GB2312"/>
          <w:sz w:val="24"/>
        </w:rPr>
        <w:t>”</w:t>
      </w:r>
      <w:r>
        <w:rPr>
          <w:rFonts w:hint="eastAsia" w:ascii="楷体_GB2312" w:eastAsia="楷体_GB2312" w:cs="楷体_GB2312"/>
          <w:bCs/>
          <w:sz w:val="24"/>
        </w:rPr>
        <w:t>或监管部门指定的其他提供</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登记托管服务的机构。</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支付代理机构：</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sz w:val="24"/>
        </w:rPr>
        <w:t>上海清算所</w:t>
      </w:r>
      <w:r>
        <w:rPr>
          <w:rFonts w:eastAsia="楷体_GB2312"/>
          <w:bCs/>
          <w:sz w:val="24"/>
        </w:rPr>
        <w:t>”</w:t>
      </w:r>
      <w:r>
        <w:rPr>
          <w:rFonts w:hint="eastAsia" w:ascii="楷体_GB2312" w:eastAsia="楷体_GB2312" w:cs="楷体_GB2312"/>
          <w:bCs/>
          <w:sz w:val="24"/>
        </w:rPr>
        <w:t>或监管部门指定的其他提供</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本息兑付服务的机构。</w:t>
      </w:r>
    </w:p>
    <w:p>
      <w:pPr>
        <w:pStyle w:val="13"/>
        <w:spacing w:beforeLines="50" w:afterLines="50" w:line="240" w:lineRule="atLeast"/>
        <w:outlineLvl w:val="2"/>
        <w:rPr>
          <w:rFonts w:eastAsia="楷体_GB2312"/>
          <w:b/>
        </w:rPr>
      </w:pPr>
      <w:r>
        <w:rPr>
          <w:rFonts w:eastAsia="楷体_GB2312"/>
          <w:b/>
        </w:rPr>
        <w:t>3</w:t>
      </w:r>
      <w:r>
        <w:rPr>
          <w:rFonts w:hint="eastAsia" w:ascii="楷体_GB2312" w:eastAsia="楷体_GB2312" w:cs="楷体_GB2312"/>
          <w:b/>
        </w:rPr>
        <w:t>、其他相关机构</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银保监会：</w:t>
      </w:r>
      <w:r>
        <w:rPr>
          <w:rFonts w:hint="eastAsia" w:ascii="楷体_GB2312" w:eastAsia="楷体_GB2312" w:cs="楷体_GB2312"/>
          <w:sz w:val="24"/>
        </w:rPr>
        <w:t>系指中国银行保险监督管理委员会。就原中国银行业监督管理委员会制定的规范性文件、出具的批准文件、颁发的许可证等材料，如未失效或被废止，则</w:t>
      </w:r>
      <w:r>
        <w:rPr>
          <w:rFonts w:eastAsia="楷体_GB2312"/>
          <w:sz w:val="24"/>
        </w:rPr>
        <w:t>“</w:t>
      </w:r>
      <w:r>
        <w:rPr>
          <w:rFonts w:hint="eastAsia" w:ascii="楷体_GB2312" w:eastAsia="楷体_GB2312" w:cs="楷体_GB2312"/>
          <w:sz w:val="24"/>
        </w:rPr>
        <w:t>交易文件</w:t>
      </w:r>
      <w:r>
        <w:rPr>
          <w:rFonts w:eastAsia="楷体_GB2312"/>
          <w:sz w:val="24"/>
        </w:rPr>
        <w:t>”</w:t>
      </w:r>
      <w:r>
        <w:rPr>
          <w:rFonts w:hint="eastAsia" w:ascii="楷体_GB2312" w:eastAsia="楷体_GB2312" w:cs="楷体_GB2312"/>
          <w:sz w:val="24"/>
        </w:rPr>
        <w:t>中的</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sz w:val="24"/>
        </w:rPr>
        <w:t>也指原中国银行业监督管理委员会。</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人民银行：</w:t>
      </w:r>
      <w:r>
        <w:rPr>
          <w:rFonts w:hint="eastAsia" w:ascii="楷体_GB2312" w:eastAsia="楷体_GB2312" w:cs="楷体_GB2312"/>
          <w:sz w:val="24"/>
        </w:rPr>
        <w:t>系指中国人民银行。</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交易商协会：</w:t>
      </w:r>
      <w:r>
        <w:rPr>
          <w:rFonts w:hint="eastAsia" w:ascii="楷体_GB2312" w:eastAsia="楷体_GB2312" w:cs="楷体_GB2312"/>
          <w:sz w:val="24"/>
        </w:rPr>
        <w:t>系指中国银行间市场交易商协会。</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sz w:val="24"/>
        </w:rPr>
        <w:t>同业拆借中心：</w:t>
      </w:r>
      <w:r>
        <w:rPr>
          <w:rFonts w:hint="eastAsia" w:ascii="楷体_GB2312" w:eastAsia="楷体_GB2312" w:cs="楷体_GB2312"/>
          <w:kern w:val="0"/>
          <w:sz w:val="24"/>
        </w:rPr>
        <w:t>系指全国银行间同业拆借中心。</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北金所：</w:t>
      </w:r>
      <w:r>
        <w:rPr>
          <w:rFonts w:hint="eastAsia" w:ascii="楷体_GB2312" w:eastAsia="楷体_GB2312" w:cs="楷体_GB2312"/>
          <w:sz w:val="24"/>
        </w:rPr>
        <w:t>系指北京金融资产交易所。</w:t>
      </w:r>
    </w:p>
    <w:p>
      <w:pPr>
        <w:pStyle w:val="13"/>
        <w:spacing w:beforeLines="50" w:afterLines="50" w:line="240" w:lineRule="atLeast"/>
        <w:outlineLvl w:val="1"/>
        <w:rPr>
          <w:rFonts w:eastAsia="楷体_GB2312"/>
          <w:b/>
        </w:rPr>
      </w:pPr>
      <w:r>
        <w:rPr>
          <w:rFonts w:hint="eastAsia" w:ascii="楷体_GB2312" w:eastAsia="楷体_GB2312" w:cs="楷体_GB2312"/>
          <w:b/>
        </w:rPr>
        <w:t>（二）交易文本的定义</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交易文件：</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《主定义表》</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【《差额支付承诺函》】</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、“《资金监管合同》”、</w:t>
      </w:r>
      <w:r>
        <w:rPr>
          <w:rFonts w:eastAsia="楷体_GB2312"/>
          <w:sz w:val="24"/>
        </w:rPr>
        <w:t>“</w:t>
      </w:r>
      <w:r>
        <w:rPr>
          <w:rFonts w:hint="eastAsia" w:ascii="楷体_GB2312" w:eastAsia="楷体_GB2312" w:cs="楷体_GB2312"/>
          <w:sz w:val="24"/>
        </w:rPr>
        <w:t>《承销协议》</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《承销团协议》（如有</w:t>
      </w:r>
      <w:bookmarkStart w:id="7" w:name="_Toc173860433"/>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收费文件</w:t>
      </w:r>
      <w:r>
        <w:rPr>
          <w:rFonts w:eastAsia="楷体_GB2312"/>
          <w:sz w:val="24"/>
        </w:rPr>
        <w:t>”</w:t>
      </w:r>
      <w:r>
        <w:rPr>
          <w:rFonts w:hint="eastAsia" w:ascii="楷体_GB2312" w:eastAsia="楷体_GB2312" w:cs="楷体_GB2312"/>
          <w:sz w:val="24"/>
        </w:rPr>
        <w:t>、</w:t>
      </w:r>
      <w:bookmarkEnd w:id="7"/>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登记托管机构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支付代理机构</w:t>
      </w:r>
      <w:r>
        <w:rPr>
          <w:rFonts w:eastAsia="楷体_GB2312"/>
          <w:sz w:val="24"/>
        </w:rPr>
        <w:t>”</w:t>
      </w:r>
      <w:r>
        <w:rPr>
          <w:rFonts w:hint="eastAsia" w:ascii="楷体_GB2312" w:eastAsia="楷体_GB2312" w:cs="楷体_GB2312"/>
          <w:sz w:val="24"/>
        </w:rPr>
        <w:t>签署的相关登记托管、代理兑付服务协议以及其他相关的协议和文件，及对以上协议和文件的任何有效修改或补充。</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交易文件的内容</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根据实际情况修改</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《主定义表》：</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【发起机构简称】</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【受托机构简称】</w:t>
      </w:r>
      <w:r>
        <w:rPr>
          <w:rFonts w:eastAsia="楷体_GB2312"/>
          <w:sz w:val="24"/>
        </w:rPr>
        <w:t>”</w:t>
      </w:r>
      <w:r>
        <w:rPr>
          <w:rFonts w:hint="eastAsia" w:ascii="楷体_GB2312" w:eastAsia="楷体_GB2312" w:cs="楷体_GB2312"/>
          <w:sz w:val="24"/>
        </w:rPr>
        <w:t>签署的编号为【主定义表编号】的由定义、释义、或解释条款所构成的本定义表，及对本定义表的任何修改或补充。</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《信托合同》：</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签署的编号为【信托合同编号】的《【信托名称】信托合同》及对该合同的任何修改或补充。</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《服务合同》：</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与</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签署的编号为【服务合同编号】的</w:t>
      </w:r>
      <w:r>
        <w:rPr>
          <w:rFonts w:hint="eastAsia" w:ascii="楷体_GB2312" w:eastAsia="楷体_GB2312" w:cs="楷体_GB2312"/>
          <w:sz w:val="24"/>
        </w:rPr>
        <w:t>《【信托名称】服务合同》及对该合同的任何修改或补充</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【《差额支付承诺函》】：</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【差额支付承诺人】</w:t>
      </w:r>
      <w:r>
        <w:rPr>
          <w:rFonts w:eastAsia="楷体_GB2312"/>
          <w:bCs/>
          <w:sz w:val="24"/>
        </w:rPr>
        <w:t>”</w:t>
      </w:r>
      <w:r>
        <w:rPr>
          <w:rFonts w:hint="eastAsia" w:ascii="楷体_GB2312" w:eastAsia="楷体_GB2312" w:cs="楷体_GB2312"/>
          <w:bCs/>
          <w:sz w:val="24"/>
        </w:rPr>
        <w:t>向</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出具的编号为【差额支付承诺函编号】的《【信托名称】差额支付承诺函》，以及对该承诺函的任何修改或补充。</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增信协议、增信方式的命名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w:t>
      </w:r>
      <w:r>
        <w:rPr>
          <w:rFonts w:hint="eastAsia" w:ascii="楷体_GB2312" w:eastAsia="楷体_GB2312" w:cs="楷体_GB2312"/>
          <w:b/>
          <w:i/>
          <w:color w:val="FF0000"/>
          <w:sz w:val="24"/>
          <w:u w:val="single"/>
        </w:rPr>
        <w:t>定义</w:t>
      </w:r>
      <w:r>
        <w:rPr>
          <w:rFonts w:hint="eastAsia" w:ascii="楷体_GB2312" w:eastAsia="楷体_GB2312" w:cs="楷体_GB2312"/>
          <w:b/>
          <w:i/>
          <w:color w:val="FF0000"/>
          <w:sz w:val="24"/>
          <w:u w:val="single"/>
          <w:lang w:val="en-US" w:eastAsia="zh-CN"/>
        </w:rPr>
        <w:t>和条款应</w:t>
      </w:r>
      <w:r>
        <w:rPr>
          <w:rFonts w:hint="eastAsia" w:ascii="楷体_GB2312" w:eastAsia="楷体_GB2312" w:cs="楷体_GB2312"/>
          <w:b/>
          <w:i/>
          <w:color w:val="FF0000"/>
          <w:sz w:val="24"/>
          <w:u w:val="single"/>
        </w:rPr>
        <w:t>根据实际情况修改，下同。</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《资金保管合同》：</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签署的编号为【资金保管合同编号】的《【信托名称】资金保管合同》及对该合同的任何修改或补充。</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《资金监管合同》：</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作为</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签署的编号为【资金监管合同编号】的《【信托名称】资金监管合同》及对该合同的任何修改或补充。</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《承销协议》：</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发起机构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发行载体管理机构</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签署的编号为【承销协议编号】的《【票据名称】承销协议》及对该协议的任何修改或补充。</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《承销团协议》：</w:t>
      </w:r>
      <w:r>
        <w:rPr>
          <w:rFonts w:hint="eastAsia" w:ascii="楷体_GB2312" w:eastAsia="楷体_GB2312" w:cs="楷体_GB2312"/>
          <w:bCs/>
          <w:sz w:val="24"/>
        </w:rPr>
        <w:t>就一次</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的发行而言，</w:t>
      </w:r>
      <w:r>
        <w:rPr>
          <w:rFonts w:hint="eastAsia" w:ascii="楷体_GB2312" w:eastAsia="楷体_GB2312" w:cs="楷体_GB2312"/>
          <w:sz w:val="24"/>
        </w:rPr>
        <w:t>系指对应的全部</w:t>
      </w:r>
      <w:r>
        <w:rPr>
          <w:rFonts w:eastAsia="楷体_GB2312"/>
          <w:sz w:val="24"/>
        </w:rPr>
        <w:t>“</w:t>
      </w:r>
      <w:r>
        <w:rPr>
          <w:rFonts w:hint="eastAsia" w:ascii="楷体_GB2312" w:eastAsia="楷体_GB2312" w:cs="楷体_GB2312"/>
          <w:sz w:val="24"/>
        </w:rPr>
        <w:t>承销商</w:t>
      </w:r>
      <w:r>
        <w:rPr>
          <w:rFonts w:eastAsia="楷体_GB2312"/>
          <w:sz w:val="24"/>
        </w:rPr>
        <w:t>”</w:t>
      </w:r>
      <w:r>
        <w:rPr>
          <w:rFonts w:hint="eastAsia" w:ascii="楷体_GB2312" w:eastAsia="楷体_GB2312" w:cs="楷体_GB2312"/>
          <w:sz w:val="24"/>
        </w:rPr>
        <w:t>签署的《【票据名称】承销团协议》（如有）及对该协议的任何修改或补充。</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【《募集说明书》</w:t>
      </w:r>
      <w:r>
        <w:rPr>
          <w:rFonts w:eastAsia="楷体_GB2312"/>
          <w:b/>
          <w:sz w:val="24"/>
        </w:rPr>
        <w:t>/</w:t>
      </w:r>
      <w:r>
        <w:rPr>
          <w:rFonts w:hint="eastAsia" w:ascii="楷体_GB2312" w:eastAsia="楷体_GB2312" w:cs="楷体_GB2312"/>
          <w:b/>
          <w:sz w:val="24"/>
        </w:rPr>
        <w:t>《定向募集说明书》</w:t>
      </w:r>
      <w:r>
        <w:rPr>
          <w:rFonts w:eastAsia="楷体_GB2312"/>
          <w:b/>
          <w:sz w:val="24"/>
        </w:rPr>
        <w:t>/</w:t>
      </w:r>
      <w:r>
        <w:rPr>
          <w:rFonts w:hint="eastAsia" w:ascii="楷体_GB2312" w:eastAsia="楷体_GB2312" w:cs="楷体_GB2312"/>
          <w:b/>
          <w:sz w:val="24"/>
        </w:rPr>
        <w:t>《定向发行协议》】：</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发起机构</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作为</w:t>
      </w:r>
      <w:r>
        <w:rPr>
          <w:rFonts w:eastAsia="楷体_GB2312"/>
          <w:sz w:val="24"/>
        </w:rPr>
        <w:t>“</w:t>
      </w:r>
      <w:r>
        <w:rPr>
          <w:rFonts w:hint="eastAsia" w:ascii="楷体_GB2312" w:eastAsia="楷体_GB2312" w:cs="楷体_GB2312"/>
          <w:sz w:val="24"/>
        </w:rPr>
        <w:t>发行载体管理机构</w:t>
      </w:r>
      <w:r>
        <w:rPr>
          <w:rFonts w:eastAsia="楷体_GB2312"/>
          <w:sz w:val="24"/>
        </w:rPr>
        <w:t>”</w:t>
      </w:r>
      <w:r>
        <w:rPr>
          <w:rFonts w:hint="eastAsia" w:ascii="楷体_GB2312" w:eastAsia="楷体_GB2312" w:cs="楷体_GB2312"/>
          <w:sz w:val="24"/>
        </w:rPr>
        <w:t>为发行各期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并向投资者披露各期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发行相关信息而制作的【《【票据名称】</w:t>
      </w:r>
      <w:r>
        <w:rPr>
          <w:rFonts w:hint="eastAsia" w:ascii="楷体_GB2312" w:eastAsia="楷体_GB2312" w:cs="楷体_GB2312"/>
          <w:bCs/>
          <w:sz w:val="24"/>
        </w:rPr>
        <w:t>募集说明书</w:t>
      </w:r>
      <w:r>
        <w:rPr>
          <w:rFonts w:eastAsia="楷体_GB2312"/>
          <w:bCs/>
          <w:sz w:val="24"/>
        </w:rPr>
        <w:t>/</w:t>
      </w:r>
      <w:r>
        <w:rPr>
          <w:rFonts w:hint="eastAsia" w:ascii="楷体_GB2312" w:eastAsia="楷体_GB2312" w:cs="楷体_GB2312"/>
          <w:bCs/>
          <w:sz w:val="24"/>
        </w:rPr>
        <w:t>定向募集说明书</w:t>
      </w:r>
      <w:r>
        <w:rPr>
          <w:rFonts w:eastAsia="楷体_GB2312"/>
          <w:bCs/>
          <w:sz w:val="24"/>
        </w:rPr>
        <w:t>/</w:t>
      </w:r>
      <w:r>
        <w:rPr>
          <w:rFonts w:hint="eastAsia" w:ascii="楷体_GB2312" w:eastAsia="楷体_GB2312" w:cs="楷体_GB2312"/>
          <w:bCs/>
          <w:sz w:val="24"/>
        </w:rPr>
        <w:t>定向发行协议》】</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该发行文件</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w:t>
      </w:r>
      <w:r>
        <w:rPr>
          <w:rFonts w:hint="eastAsia" w:ascii="楷体_GB2312" w:eastAsia="楷体_GB2312" w:cs="楷体_GB2312"/>
          <w:b/>
          <w:i/>
          <w:color w:val="FF0000"/>
          <w:sz w:val="24"/>
          <w:u w:val="single"/>
          <w:lang w:val="en-US" w:eastAsia="zh-CN"/>
        </w:rPr>
        <w:t>实际情况</w:t>
      </w:r>
      <w:r>
        <w:rPr>
          <w:rFonts w:hint="eastAsia" w:ascii="楷体_GB2312" w:eastAsia="楷体_GB2312" w:cs="楷体_GB2312"/>
          <w:b/>
          <w:i/>
          <w:color w:val="FF0000"/>
          <w:sz w:val="24"/>
          <w:u w:val="single"/>
        </w:rPr>
        <w:t>确定</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并调整相关定义和条款，下同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i/>
          <w:color w:val="FF0000"/>
          <w:sz w:val="24"/>
        </w:rPr>
      </w:pPr>
      <w:r>
        <w:rPr>
          <w:rFonts w:hint="eastAsia" w:ascii="楷体_GB2312" w:eastAsia="楷体_GB2312" w:cs="楷体_GB2312"/>
          <w:b/>
          <w:sz w:val="24"/>
        </w:rPr>
        <w:t>《发行人服务协议》：</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登记托管机构</w:t>
      </w:r>
      <w:r>
        <w:rPr>
          <w:rFonts w:eastAsia="楷体_GB2312"/>
          <w:sz w:val="24"/>
        </w:rPr>
        <w:t>”/“</w:t>
      </w:r>
      <w:r>
        <w:rPr>
          <w:rFonts w:hint="eastAsia" w:ascii="楷体_GB2312" w:eastAsia="楷体_GB2312" w:cs="楷体_GB2312"/>
          <w:sz w:val="24"/>
        </w:rPr>
        <w:t>支付代理机构</w:t>
      </w:r>
      <w:r>
        <w:rPr>
          <w:rFonts w:eastAsia="楷体_GB2312"/>
          <w:sz w:val="24"/>
        </w:rPr>
        <w:t>”</w:t>
      </w:r>
      <w:r>
        <w:rPr>
          <w:rFonts w:hint="eastAsia" w:ascii="楷体_GB2312" w:eastAsia="楷体_GB2312" w:cs="楷体_GB2312"/>
          <w:sz w:val="24"/>
        </w:rPr>
        <w:t>签署的《发行人服务协议》及对该协议的任何修改或补充。</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sz w:val="24"/>
        </w:rPr>
        <w:t>收费文件：</w:t>
      </w:r>
      <w:r>
        <w:rPr>
          <w:rFonts w:hint="eastAsia" w:ascii="楷体_GB2312" w:eastAsia="楷体_GB2312" w:cs="楷体_GB2312"/>
          <w:sz w:val="24"/>
        </w:rPr>
        <w:t>统指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与</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评级机构</w:t>
      </w:r>
      <w:r>
        <w:rPr>
          <w:rFonts w:eastAsia="楷体_GB2312"/>
          <w:sz w:val="24"/>
        </w:rPr>
        <w:t>”</w:t>
      </w:r>
      <w:r>
        <w:rPr>
          <w:rFonts w:hint="eastAsia" w:ascii="楷体_GB2312" w:eastAsia="楷体_GB2312" w:cs="楷体_GB2312"/>
          <w:sz w:val="24"/>
        </w:rPr>
        <w:t>、</w:t>
      </w:r>
      <w:r>
        <w:rPr>
          <w:rFonts w:hint="eastAsia" w:eastAsia="楷体_GB2312"/>
          <w:sz w:val="24"/>
        </w:rPr>
        <w:t>“现金流评估预测机构”、</w:t>
      </w:r>
      <w:r>
        <w:rPr>
          <w:rFonts w:eastAsia="楷体_GB2312"/>
          <w:sz w:val="24"/>
        </w:rPr>
        <w:t>“</w:t>
      </w:r>
      <w:r>
        <w:rPr>
          <w:rFonts w:hint="eastAsia" w:ascii="楷体_GB2312" w:eastAsia="楷体_GB2312" w:cs="楷体_GB2312"/>
          <w:sz w:val="24"/>
        </w:rPr>
        <w:t>审计师</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法律顾问</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登记托管机构</w:t>
      </w:r>
      <w:r>
        <w:rPr>
          <w:rFonts w:eastAsia="楷体_GB2312"/>
          <w:sz w:val="24"/>
        </w:rPr>
        <w:t>”/“</w:t>
      </w:r>
      <w:r>
        <w:rPr>
          <w:rFonts w:hint="eastAsia" w:ascii="楷体_GB2312" w:eastAsia="楷体_GB2312" w:cs="楷体_GB2312"/>
          <w:sz w:val="24"/>
        </w:rPr>
        <w:t>支付代理机构</w:t>
      </w:r>
      <w:r>
        <w:rPr>
          <w:rFonts w:eastAsia="楷体_GB2312"/>
          <w:sz w:val="24"/>
        </w:rPr>
        <w:t>”</w:t>
      </w:r>
      <w:r>
        <w:rPr>
          <w:rFonts w:hint="eastAsia" w:ascii="楷体_GB2312" w:eastAsia="楷体_GB2312" w:cs="楷体_GB2312"/>
          <w:sz w:val="24"/>
        </w:rPr>
        <w:t>及其他相关的服务提供者签署的、与其因向</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提供服务而产生的报酬和费用的支付有关的合同、协议或其他文件。</w:t>
      </w:r>
    </w:p>
    <w:p>
      <w:pPr>
        <w:adjustRightInd w:val="0"/>
        <w:spacing w:beforeLines="50" w:afterLines="50" w:line="240" w:lineRule="atLeast"/>
        <w:ind w:left="851"/>
        <w:textAlignment w:val="baseline"/>
        <w:rPr>
          <w:rFonts w:eastAsia="楷体_GB2312"/>
          <w:b/>
          <w:bCs/>
          <w:i/>
          <w:color w:val="FF0000"/>
          <w:sz w:val="24"/>
          <w:u w:val="single"/>
        </w:rPr>
      </w:pPr>
      <w:r>
        <w:rPr>
          <w:rFonts w:hint="eastAsia" w:ascii="楷体_GB2312" w:eastAsia="楷体_GB2312" w:cs="楷体_GB2312"/>
          <w:b/>
          <w:i/>
          <w:color w:val="FF0000"/>
          <w:sz w:val="24"/>
          <w:u w:val="single"/>
        </w:rPr>
        <w:t>收费文件</w:t>
      </w:r>
      <w:r>
        <w:rPr>
          <w:rFonts w:hint="eastAsia" w:ascii="楷体_GB2312" w:eastAsia="楷体_GB2312" w:cs="楷体_GB2312"/>
          <w:b/>
          <w:i/>
          <w:color w:val="FF0000"/>
          <w:sz w:val="24"/>
          <w:u w:val="single"/>
          <w:lang w:val="en-US" w:eastAsia="zh-CN"/>
        </w:rPr>
        <w:t>的</w:t>
      </w:r>
      <w:r>
        <w:rPr>
          <w:rFonts w:hint="eastAsia" w:ascii="楷体_GB2312" w:eastAsia="楷体_GB2312" w:cs="楷体_GB2312"/>
          <w:b/>
          <w:i/>
          <w:color w:val="FF0000"/>
          <w:sz w:val="24"/>
          <w:u w:val="single"/>
        </w:rPr>
        <w:t>范围</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pStyle w:val="13"/>
        <w:spacing w:beforeLines="50" w:afterLines="50" w:line="240" w:lineRule="atLeast"/>
        <w:outlineLvl w:val="1"/>
        <w:rPr>
          <w:rFonts w:eastAsia="楷体_GB2312"/>
          <w:b/>
        </w:rPr>
      </w:pPr>
      <w:r>
        <w:rPr>
          <w:rFonts w:hint="eastAsia" w:ascii="楷体_GB2312" w:eastAsia="楷体_GB2312" w:cs="楷体_GB2312"/>
          <w:b/>
        </w:rPr>
        <w:t>（三）资产池与信托的定义</w:t>
      </w:r>
    </w:p>
    <w:p>
      <w:pPr>
        <w:pStyle w:val="13"/>
        <w:spacing w:beforeLines="50" w:afterLines="50" w:line="240" w:lineRule="atLeast"/>
        <w:outlineLvl w:val="2"/>
        <w:rPr>
          <w:rFonts w:eastAsia="楷体_GB2312"/>
          <w:b/>
        </w:rPr>
      </w:pPr>
      <w:r>
        <w:rPr>
          <w:rFonts w:eastAsia="楷体_GB2312"/>
          <w:b/>
        </w:rPr>
        <w:t>1</w:t>
      </w:r>
      <w:r>
        <w:rPr>
          <w:rFonts w:hint="eastAsia" w:ascii="楷体_GB2312" w:eastAsia="楷体_GB2312" w:cs="楷体_GB2312"/>
          <w:b/>
        </w:rPr>
        <w:t>、资产池与资产</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资产</w:t>
      </w:r>
      <w:r>
        <w:rPr>
          <w:rFonts w:eastAsia="楷体_GB2312"/>
          <w:b/>
          <w:sz w:val="24"/>
        </w:rPr>
        <w:t>/</w:t>
      </w:r>
      <w:r>
        <w:rPr>
          <w:rFonts w:hint="eastAsia" w:ascii="楷体_GB2312" w:eastAsia="楷体_GB2312" w:cs="楷体_GB2312"/>
          <w:b/>
          <w:sz w:val="24"/>
        </w:rPr>
        <w:t>基础资产：</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w:t>
      </w:r>
    </w:p>
    <w:p>
      <w:pPr>
        <w:numPr>
          <w:ilvl w:val="-1"/>
          <w:numId w:val="0"/>
        </w:numPr>
        <w:adjustRightInd w:val="0"/>
        <w:spacing w:beforeLines="50" w:afterLines="50" w:line="240" w:lineRule="atLeast"/>
        <w:ind w:left="851" w:firstLine="0"/>
        <w:textAlignment w:val="baseline"/>
        <w:rPr>
          <w:rFonts w:hint="eastAsia" w:ascii="楷体_GB2312" w:eastAsia="楷体_GB2312" w:cs="楷体_GB2312"/>
          <w:b/>
          <w:bCs w:val="0"/>
          <w:i/>
          <w:color w:val="FF0000"/>
          <w:sz w:val="24"/>
          <w:u w:val="single"/>
        </w:rPr>
      </w:pPr>
      <w:r>
        <w:rPr>
          <w:rFonts w:hint="eastAsia" w:ascii="楷体_GB2312" w:eastAsia="楷体_GB2312" w:cs="楷体_GB2312"/>
          <w:b/>
          <w:i/>
          <w:color w:val="FF0000"/>
          <w:sz w:val="24"/>
          <w:u w:val="single"/>
          <w:lang w:val="en-US" w:eastAsia="zh-CN"/>
        </w:rPr>
        <w:t>基础资产相关定义和条款应根据实际情况修改，下同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初始资产</w:t>
      </w:r>
      <w:r>
        <w:rPr>
          <w:rFonts w:eastAsia="楷体_GB2312"/>
          <w:b/>
          <w:sz w:val="24"/>
        </w:rPr>
        <w:t>/</w:t>
      </w:r>
      <w:r>
        <w:rPr>
          <w:rFonts w:hint="eastAsia" w:ascii="楷体_GB2312" w:eastAsia="楷体_GB2312" w:cs="楷体_GB2312"/>
          <w:b/>
          <w:sz w:val="24"/>
        </w:rPr>
        <w:t>初始基础资产：</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委托给</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设立</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的</w:t>
      </w:r>
      <w:bookmarkStart w:id="8" w:name="_Toc173860434"/>
      <w:r>
        <w:rPr>
          <w:rFonts w:hint="eastAsia" w:ascii="楷体_GB2312" w:eastAsia="楷体_GB2312" w:cs="楷体_GB2312"/>
          <w:sz w:val="24"/>
        </w:rPr>
        <w:t>全部</w:t>
      </w:r>
      <w:r>
        <w:rPr>
          <w:rFonts w:eastAsia="楷体_GB2312"/>
          <w:sz w:val="24"/>
        </w:rPr>
        <w:t>“</w:t>
      </w:r>
      <w:bookmarkEnd w:id="8"/>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及</w:t>
      </w:r>
      <w:bookmarkStart w:id="9" w:name="_Toc173860435"/>
      <w:r>
        <w:rPr>
          <w:rFonts w:hint="eastAsia" w:ascii="楷体_GB2312" w:eastAsia="楷体_GB2312" w:cs="楷体_GB2312"/>
          <w:sz w:val="24"/>
        </w:rPr>
        <w:t>其</w:t>
      </w:r>
      <w:r>
        <w:rPr>
          <w:rFonts w:eastAsia="楷体_GB2312"/>
          <w:sz w:val="24"/>
        </w:rPr>
        <w:t>“</w:t>
      </w:r>
      <w:r>
        <w:rPr>
          <w:rFonts w:hint="eastAsia" w:ascii="楷体_GB2312" w:eastAsia="楷体_GB2312" w:cs="楷体_GB2312"/>
          <w:sz w:val="24"/>
        </w:rPr>
        <w:t>附属担保权益</w:t>
      </w:r>
      <w:r>
        <w:rPr>
          <w:rFonts w:eastAsia="楷体_GB2312"/>
          <w:sz w:val="24"/>
        </w:rPr>
        <w:t>”</w:t>
      </w:r>
      <w:bookmarkEnd w:id="9"/>
      <w:r>
        <w:rPr>
          <w:rFonts w:hint="eastAsia" w:ascii="楷体_GB2312" w:eastAsia="楷体_GB2312" w:cs="楷体_GB2312"/>
          <w:sz w:val="24"/>
        </w:rPr>
        <w:t>（如有）。每笔</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的具体信息见相应</w:t>
      </w:r>
      <w:r>
        <w:rPr>
          <w:rFonts w:eastAsia="楷体_GB2312"/>
          <w:sz w:val="24"/>
        </w:rPr>
        <w:t>“</w:t>
      </w:r>
      <w:r>
        <w:rPr>
          <w:rFonts w:hint="eastAsia" w:ascii="楷体_GB2312" w:eastAsia="楷体_GB2312" w:cs="楷体_GB2312"/>
          <w:sz w:val="24"/>
        </w:rPr>
        <w:t>资产清单</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追加资产</w:t>
      </w:r>
      <w:r>
        <w:rPr>
          <w:rFonts w:eastAsia="楷体_GB2312"/>
          <w:b/>
          <w:sz w:val="24"/>
        </w:rPr>
        <w:t>/</w:t>
      </w:r>
      <w:r>
        <w:rPr>
          <w:rFonts w:hint="eastAsia" w:ascii="楷体_GB2312" w:eastAsia="楷体_GB2312" w:cs="楷体_GB2312"/>
          <w:b/>
          <w:sz w:val="24"/>
        </w:rPr>
        <w:t>追加基础资产：</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追加信托财产交付日</w:t>
      </w:r>
      <w:r>
        <w:rPr>
          <w:rFonts w:eastAsia="楷体_GB2312"/>
          <w:sz w:val="24"/>
        </w:rPr>
        <w:t>”“</w:t>
      </w:r>
      <w:r>
        <w:rPr>
          <w:rFonts w:hint="eastAsia" w:ascii="楷体_GB2312" w:eastAsia="楷体_GB2312" w:cs="楷体_GB2312"/>
          <w:sz w:val="24"/>
        </w:rPr>
        <w:t>追加交付</w:t>
      </w:r>
      <w:r>
        <w:rPr>
          <w:rFonts w:eastAsia="楷体_GB2312"/>
          <w:sz w:val="24"/>
        </w:rPr>
        <w:t>”</w:t>
      </w:r>
      <w:r>
        <w:rPr>
          <w:rFonts w:hint="eastAsia" w:ascii="楷体_GB2312" w:eastAsia="楷体_GB2312" w:cs="楷体_GB2312"/>
          <w:sz w:val="24"/>
        </w:rPr>
        <w:t>给</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的全部</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及其</w:t>
      </w:r>
      <w:r>
        <w:rPr>
          <w:rFonts w:eastAsia="楷体_GB2312"/>
          <w:sz w:val="24"/>
        </w:rPr>
        <w:t>“</w:t>
      </w:r>
      <w:r>
        <w:rPr>
          <w:rFonts w:hint="eastAsia" w:ascii="楷体_GB2312" w:eastAsia="楷体_GB2312" w:cs="楷体_GB2312"/>
          <w:sz w:val="24"/>
        </w:rPr>
        <w:t>附属担保权益</w:t>
      </w:r>
      <w:r>
        <w:rPr>
          <w:rFonts w:eastAsia="楷体_GB2312"/>
          <w:sz w:val="24"/>
        </w:rPr>
        <w:t>”</w:t>
      </w:r>
      <w:r>
        <w:rPr>
          <w:rFonts w:hint="eastAsia" w:ascii="楷体_GB2312" w:eastAsia="楷体_GB2312" w:cs="楷体_GB2312"/>
          <w:sz w:val="24"/>
        </w:rPr>
        <w:t>（如有）。每笔</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的具体信息见相应</w:t>
      </w:r>
      <w:r>
        <w:rPr>
          <w:rFonts w:eastAsia="楷体_GB2312"/>
          <w:sz w:val="24"/>
        </w:rPr>
        <w:t>“</w:t>
      </w:r>
      <w:r>
        <w:rPr>
          <w:rFonts w:hint="eastAsia" w:ascii="楷体_GB2312" w:eastAsia="楷体_GB2312" w:cs="楷体_GB2312"/>
          <w:sz w:val="24"/>
        </w:rPr>
        <w:t>资产清单</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循环购买资产</w:t>
      </w:r>
      <w:r>
        <w:rPr>
          <w:rFonts w:eastAsia="楷体_GB2312"/>
          <w:b/>
          <w:sz w:val="24"/>
        </w:rPr>
        <w:t>/</w:t>
      </w:r>
      <w:r>
        <w:rPr>
          <w:rFonts w:hint="eastAsia" w:ascii="楷体_GB2312" w:eastAsia="楷体_GB2312" w:cs="楷体_GB2312"/>
          <w:b/>
          <w:sz w:val="24"/>
        </w:rPr>
        <w:t>循环购买基础资产：</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循环购买日</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所得的全部</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及其</w:t>
      </w:r>
      <w:r>
        <w:rPr>
          <w:rFonts w:eastAsia="楷体_GB2312"/>
          <w:sz w:val="24"/>
        </w:rPr>
        <w:t>“</w:t>
      </w:r>
      <w:r>
        <w:rPr>
          <w:rFonts w:hint="eastAsia" w:ascii="楷体_GB2312" w:eastAsia="楷体_GB2312" w:cs="楷体_GB2312"/>
          <w:sz w:val="24"/>
        </w:rPr>
        <w:t>附属担保权益</w:t>
      </w:r>
      <w:r>
        <w:rPr>
          <w:rFonts w:eastAsia="楷体_GB2312"/>
          <w:sz w:val="24"/>
        </w:rPr>
        <w:t>”</w:t>
      </w:r>
      <w:r>
        <w:rPr>
          <w:rFonts w:hint="eastAsia" w:ascii="楷体_GB2312" w:eastAsia="楷体_GB2312" w:cs="楷体_GB2312"/>
          <w:sz w:val="24"/>
        </w:rPr>
        <w:t>（如有）。每笔</w:t>
      </w:r>
      <w:r>
        <w:rPr>
          <w:rFonts w:eastAsia="楷体_GB2312"/>
          <w:sz w:val="24"/>
        </w:rPr>
        <w:t>“</w:t>
      </w:r>
      <w:r>
        <w:rPr>
          <w:rFonts w:hint="eastAsia" w:ascii="楷体_GB2312" w:eastAsia="楷体_GB2312" w:cs="楷体_GB2312"/>
          <w:sz w:val="24"/>
        </w:rPr>
        <w:t>循环购买基础资产</w:t>
      </w:r>
      <w:r>
        <w:rPr>
          <w:rFonts w:eastAsia="楷体_GB2312"/>
          <w:sz w:val="24"/>
        </w:rPr>
        <w:t>”</w:t>
      </w:r>
      <w:r>
        <w:rPr>
          <w:rFonts w:hint="eastAsia" w:ascii="楷体_GB2312" w:eastAsia="楷体_GB2312" w:cs="楷体_GB2312"/>
          <w:sz w:val="24"/>
        </w:rPr>
        <w:t>的具体信息见相应</w:t>
      </w:r>
      <w:r>
        <w:rPr>
          <w:rFonts w:eastAsia="楷体_GB2312"/>
          <w:sz w:val="24"/>
        </w:rPr>
        <w:t>“</w:t>
      </w:r>
      <w:r>
        <w:rPr>
          <w:rFonts w:hint="eastAsia" w:ascii="楷体_GB2312" w:eastAsia="楷体_GB2312" w:cs="楷体_GB2312"/>
          <w:sz w:val="24"/>
        </w:rPr>
        <w:t>资产清单</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bCs/>
          <w:sz w:val="24"/>
          <w:u w:val="single"/>
        </w:rPr>
      </w:pPr>
      <w:r>
        <w:rPr>
          <w:rFonts w:hint="eastAsia" w:ascii="楷体_GB2312" w:eastAsia="楷体_GB2312" w:cs="楷体_GB2312"/>
          <w:b/>
          <w:i/>
          <w:color w:val="FF0000"/>
          <w:sz w:val="24"/>
          <w:u w:val="single"/>
        </w:rPr>
        <w:t>是否设置追加交付和</w:t>
      </w:r>
      <w:r>
        <w:rPr>
          <w:rFonts w:eastAsia="楷体_GB2312"/>
          <w:b/>
          <w:i/>
          <w:color w:val="FF0000"/>
          <w:sz w:val="24"/>
          <w:u w:val="single"/>
        </w:rPr>
        <w:t>/</w:t>
      </w:r>
      <w:r>
        <w:rPr>
          <w:rFonts w:hint="eastAsia" w:ascii="楷体_GB2312" w:eastAsia="楷体_GB2312" w:cs="楷体_GB2312"/>
          <w:b/>
          <w:i/>
          <w:color w:val="FF0000"/>
          <w:sz w:val="24"/>
          <w:u w:val="single"/>
        </w:rPr>
        <w:t>或循环购买机制</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default" w:ascii="楷体_GB2312" w:eastAsia="楷体_GB2312" w:cs="楷体_GB2312"/>
          <w:b/>
          <w:i/>
          <w:color w:val="FF0000"/>
          <w:sz w:val="24"/>
          <w:u w:val="single"/>
          <w:lang w:val="en-US"/>
        </w:rPr>
        <w:t>调整</w:t>
      </w:r>
      <w:r>
        <w:rPr>
          <w:rFonts w:hint="eastAsia" w:ascii="楷体_GB2312" w:eastAsia="楷体_GB2312" w:cs="楷体_GB2312"/>
          <w:b/>
          <w:i/>
          <w:color w:val="FF0000"/>
          <w:sz w:val="24"/>
          <w:u w:val="single"/>
        </w:rPr>
        <w:t>。如不适用则</w:t>
      </w:r>
      <w:r>
        <w:rPr>
          <w:rFonts w:hint="eastAsia" w:ascii="楷体_GB2312" w:eastAsia="楷体_GB2312" w:cs="楷体_GB2312"/>
          <w:b/>
          <w:i/>
          <w:color w:val="FF0000"/>
          <w:sz w:val="24"/>
          <w:u w:val="single"/>
          <w:lang w:val="en-US" w:eastAsia="zh-CN"/>
        </w:rPr>
        <w:t>应修改、</w:t>
      </w:r>
      <w:r>
        <w:rPr>
          <w:rFonts w:hint="eastAsia" w:ascii="楷体_GB2312" w:eastAsia="楷体_GB2312" w:cs="楷体_GB2312"/>
          <w:b/>
          <w:i/>
          <w:color w:val="FF0000"/>
          <w:sz w:val="24"/>
          <w:u w:val="single"/>
        </w:rPr>
        <w:t>删除相关定义和条款，下同。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【业务合同】</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与</w:t>
      </w:r>
      <w:r>
        <w:rPr>
          <w:rFonts w:eastAsia="楷体_GB2312"/>
          <w:bCs/>
          <w:sz w:val="24"/>
        </w:rPr>
        <w:t>“</w:t>
      </w:r>
      <w:r>
        <w:rPr>
          <w:rFonts w:hint="eastAsia" w:ascii="楷体_GB2312" w:eastAsia="楷体_GB2312" w:cs="楷体_GB2312"/>
          <w:bCs/>
          <w:sz w:val="24"/>
        </w:rPr>
        <w:t>【债务人】</w:t>
      </w:r>
      <w:r>
        <w:rPr>
          <w:rFonts w:eastAsia="楷体_GB2312"/>
          <w:bCs/>
          <w:sz w:val="24"/>
        </w:rPr>
        <w:t>”</w:t>
      </w:r>
      <w:r>
        <w:rPr>
          <w:rFonts w:hint="eastAsia" w:ascii="楷体_GB2312" w:eastAsia="楷体_GB2312" w:cs="楷体_GB2312"/>
          <w:bCs/>
          <w:sz w:val="24"/>
        </w:rPr>
        <w:t>签订的业务合同。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【保证合同】</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与</w:t>
      </w:r>
      <w:r>
        <w:rPr>
          <w:rFonts w:eastAsia="楷体_GB2312"/>
          <w:bCs/>
          <w:sz w:val="24"/>
        </w:rPr>
        <w:t>“</w:t>
      </w:r>
      <w:r>
        <w:rPr>
          <w:rFonts w:hint="eastAsia" w:ascii="楷体_GB2312" w:eastAsia="楷体_GB2312" w:cs="楷体_GB2312"/>
          <w:bCs/>
          <w:sz w:val="24"/>
        </w:rPr>
        <w:t>【保证人】</w:t>
      </w:r>
      <w:r>
        <w:rPr>
          <w:rFonts w:eastAsia="楷体_GB2312"/>
          <w:bCs/>
          <w:sz w:val="24"/>
        </w:rPr>
        <w:t>”</w:t>
      </w:r>
      <w:r>
        <w:rPr>
          <w:rFonts w:hint="eastAsia" w:ascii="楷体_GB2312" w:eastAsia="楷体_GB2312" w:cs="楷体_GB2312"/>
          <w:bCs/>
          <w:sz w:val="24"/>
        </w:rPr>
        <w:t>签订的保证合同。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【债务人】：</w:t>
      </w:r>
      <w:r>
        <w:rPr>
          <w:rFonts w:hint="eastAsia" w:ascii="楷体_GB2312" w:eastAsia="楷体_GB2312" w:cs="楷体_GB2312"/>
          <w:bCs/>
          <w:sz w:val="24"/>
        </w:rPr>
        <w:t>系指根据</w:t>
      </w:r>
      <w:r>
        <w:rPr>
          <w:rFonts w:eastAsia="楷体_GB2312"/>
          <w:bCs/>
          <w:sz w:val="24"/>
        </w:rPr>
        <w:t>“</w:t>
      </w:r>
      <w:r>
        <w:rPr>
          <w:rFonts w:hint="eastAsia" w:ascii="楷体_GB2312" w:eastAsia="楷体_GB2312" w:cs="楷体_GB2312"/>
          <w:bCs/>
          <w:sz w:val="24"/>
        </w:rPr>
        <w:t>【业务合同】</w:t>
      </w:r>
      <w:r>
        <w:rPr>
          <w:rFonts w:eastAsia="楷体_GB2312"/>
          <w:bCs/>
          <w:sz w:val="24"/>
        </w:rPr>
        <w:t>”</w:t>
      </w:r>
      <w:r>
        <w:rPr>
          <w:rFonts w:hint="eastAsia" w:ascii="楷体_GB2312" w:eastAsia="楷体_GB2312" w:cs="楷体_GB2312"/>
          <w:bCs/>
          <w:sz w:val="24"/>
        </w:rPr>
        <w:t>负有付款义务的</w:t>
      </w:r>
      <w:r>
        <w:rPr>
          <w:rFonts w:eastAsia="楷体_GB2312"/>
          <w:bCs/>
          <w:sz w:val="24"/>
        </w:rPr>
        <w:t>“</w:t>
      </w:r>
      <w:r>
        <w:rPr>
          <w:rFonts w:hint="eastAsia" w:ascii="楷体_GB2312" w:eastAsia="楷体_GB2312" w:cs="楷体_GB2312"/>
          <w:bCs/>
          <w:sz w:val="24"/>
        </w:rPr>
        <w:t>【债务人】</w:t>
      </w:r>
      <w:r>
        <w:rPr>
          <w:rFonts w:eastAsia="楷体_GB2312"/>
          <w:bCs/>
          <w:sz w:val="24"/>
        </w:rPr>
        <w:t>”</w:t>
      </w:r>
      <w:r>
        <w:rPr>
          <w:rFonts w:hint="eastAsia" w:ascii="楷体_GB2312" w:eastAsia="楷体_GB2312" w:cs="楷体_GB2312"/>
          <w:bCs/>
          <w:sz w:val="24"/>
        </w:rPr>
        <w:t>及</w:t>
      </w:r>
      <w:r>
        <w:rPr>
          <w:rFonts w:eastAsia="楷体_GB2312"/>
          <w:bCs/>
          <w:sz w:val="24"/>
        </w:rPr>
        <w:t>/</w:t>
      </w:r>
      <w:r>
        <w:rPr>
          <w:rFonts w:hint="eastAsia" w:ascii="楷体_GB2312" w:eastAsia="楷体_GB2312" w:cs="楷体_GB2312"/>
          <w:bCs/>
          <w:sz w:val="24"/>
        </w:rPr>
        <w:t>或其承继人。</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【保证人】：</w:t>
      </w:r>
      <w:r>
        <w:rPr>
          <w:rFonts w:hint="eastAsia" w:ascii="楷体_GB2312" w:eastAsia="楷体_GB2312" w:cs="楷体_GB2312"/>
          <w:bCs/>
          <w:sz w:val="24"/>
        </w:rPr>
        <w:t>系指根据</w:t>
      </w:r>
      <w:r>
        <w:rPr>
          <w:rFonts w:eastAsia="楷体_GB2312"/>
          <w:bCs/>
          <w:sz w:val="24"/>
        </w:rPr>
        <w:t>“</w:t>
      </w:r>
      <w:r>
        <w:rPr>
          <w:rFonts w:hint="eastAsia" w:ascii="楷体_GB2312" w:eastAsia="楷体_GB2312" w:cs="楷体_GB2312"/>
          <w:bCs/>
          <w:sz w:val="24"/>
        </w:rPr>
        <w:t>【保证合同】</w:t>
      </w:r>
      <w:r>
        <w:rPr>
          <w:rFonts w:eastAsia="楷体_GB2312"/>
          <w:bCs/>
          <w:sz w:val="24"/>
        </w:rPr>
        <w:t>”</w:t>
      </w:r>
      <w:r>
        <w:rPr>
          <w:rFonts w:hint="eastAsia" w:ascii="楷体_GB2312" w:eastAsia="楷体_GB2312" w:cs="楷体_GB2312"/>
          <w:bCs/>
          <w:sz w:val="24"/>
        </w:rPr>
        <w:t>为</w:t>
      </w:r>
      <w:r>
        <w:rPr>
          <w:rFonts w:eastAsia="楷体_GB2312"/>
          <w:bCs/>
          <w:sz w:val="24"/>
        </w:rPr>
        <w:t>“</w:t>
      </w:r>
      <w:r>
        <w:rPr>
          <w:rFonts w:hint="eastAsia" w:ascii="楷体_GB2312" w:eastAsia="楷体_GB2312" w:cs="楷体_GB2312"/>
          <w:bCs/>
          <w:sz w:val="24"/>
        </w:rPr>
        <w:t>【债务人】</w:t>
      </w:r>
      <w:r>
        <w:rPr>
          <w:rFonts w:eastAsia="楷体_GB2312"/>
          <w:bCs/>
          <w:sz w:val="24"/>
        </w:rPr>
        <w:t>”</w:t>
      </w:r>
      <w:r>
        <w:rPr>
          <w:rFonts w:hint="eastAsia" w:ascii="楷体_GB2312" w:eastAsia="楷体_GB2312" w:cs="楷体_GB2312"/>
          <w:bCs/>
          <w:sz w:val="24"/>
        </w:rPr>
        <w:t>履行付款义务提供保证的【保证人】及</w:t>
      </w:r>
      <w:r>
        <w:rPr>
          <w:rFonts w:eastAsia="楷体_GB2312"/>
          <w:bCs/>
          <w:sz w:val="24"/>
        </w:rPr>
        <w:t>/</w:t>
      </w:r>
      <w:r>
        <w:rPr>
          <w:rFonts w:hint="eastAsia" w:ascii="楷体_GB2312" w:eastAsia="楷体_GB2312" w:cs="楷体_GB2312"/>
          <w:bCs/>
          <w:sz w:val="24"/>
        </w:rPr>
        <w:t>或其承继人。</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【基础资产类型】：</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依据</w:t>
      </w:r>
      <w:r>
        <w:rPr>
          <w:rFonts w:eastAsia="楷体_GB2312"/>
          <w:bCs/>
          <w:sz w:val="24"/>
        </w:rPr>
        <w:t>“</w:t>
      </w:r>
      <w:r>
        <w:rPr>
          <w:rFonts w:hint="eastAsia" w:ascii="楷体_GB2312" w:eastAsia="楷体_GB2312" w:cs="楷体_GB2312"/>
          <w:bCs/>
          <w:sz w:val="24"/>
        </w:rPr>
        <w:t>【业务合同】</w:t>
      </w:r>
      <w:r>
        <w:rPr>
          <w:rFonts w:eastAsia="楷体_GB2312"/>
          <w:bCs/>
          <w:sz w:val="24"/>
        </w:rPr>
        <w:t>”</w:t>
      </w:r>
      <w:r>
        <w:rPr>
          <w:rFonts w:hint="eastAsia" w:ascii="楷体_GB2312" w:eastAsia="楷体_GB2312" w:cs="楷体_GB2312"/>
          <w:bCs/>
          <w:sz w:val="24"/>
        </w:rPr>
        <w:t>等享有的要求</w:t>
      </w:r>
      <w:r>
        <w:rPr>
          <w:rFonts w:eastAsia="楷体_GB2312"/>
          <w:bCs/>
          <w:sz w:val="24"/>
        </w:rPr>
        <w:t>“</w:t>
      </w:r>
      <w:r>
        <w:rPr>
          <w:rFonts w:hint="eastAsia" w:ascii="楷体_GB2312" w:eastAsia="楷体_GB2312" w:cs="楷体_GB2312"/>
          <w:bCs/>
          <w:sz w:val="24"/>
        </w:rPr>
        <w:t>【债务人】</w:t>
      </w:r>
      <w:r>
        <w:rPr>
          <w:rFonts w:eastAsia="楷体_GB2312"/>
          <w:bCs/>
          <w:sz w:val="24"/>
        </w:rPr>
        <w:t>”</w:t>
      </w:r>
      <w:r>
        <w:rPr>
          <w:rFonts w:hint="eastAsia" w:ascii="楷体_GB2312" w:eastAsia="楷体_GB2312" w:cs="楷体_GB2312"/>
          <w:bCs/>
          <w:sz w:val="24"/>
        </w:rPr>
        <w:t>支付相应应付款项的权利，</w:t>
      </w:r>
      <w:r>
        <w:rPr>
          <w:rFonts w:hint="eastAsia" w:ascii="楷体_GB2312" w:eastAsia="楷体_GB2312" w:cs="楷体_GB2312"/>
          <w:kern w:val="0"/>
          <w:sz w:val="24"/>
        </w:rPr>
        <w:t>且该</w:t>
      </w: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被信托予</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附属担保权益：</w:t>
      </w:r>
      <w:r>
        <w:rPr>
          <w:rFonts w:hint="eastAsia" w:ascii="楷体_GB2312" w:eastAsia="楷体_GB2312" w:cs="楷体_GB2312"/>
          <w:bCs/>
          <w:sz w:val="24"/>
        </w:rPr>
        <w:t>就每项</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bCs/>
          <w:sz w:val="24"/>
        </w:rPr>
        <w:t>而言，系指与</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bCs/>
          <w:sz w:val="24"/>
        </w:rPr>
        <w:t>有关的，系指为保证</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bCs/>
          <w:sz w:val="24"/>
        </w:rPr>
        <w:t>偿还设定的任何担保或其他权益。</w:t>
      </w:r>
    </w:p>
    <w:p>
      <w:pPr>
        <w:adjustRightInd w:val="0"/>
        <w:spacing w:beforeLines="50" w:afterLines="50" w:line="240" w:lineRule="atLeast"/>
        <w:ind w:left="851"/>
        <w:textAlignment w:val="baseline"/>
        <w:rPr>
          <w:rFonts w:eastAsia="楷体_GB2312"/>
          <w:b/>
          <w:bCs/>
          <w:i/>
          <w:color w:val="FF0000"/>
          <w:sz w:val="24"/>
          <w:u w:val="single"/>
        </w:rPr>
      </w:pPr>
      <w:r>
        <w:rPr>
          <w:rFonts w:eastAsia="楷体_GB2312"/>
          <w:b/>
          <w:bCs/>
          <w:i/>
          <w:color w:val="FF0000"/>
          <w:sz w:val="24"/>
          <w:u w:val="single"/>
        </w:rPr>
        <w:t>1</w:t>
      </w:r>
      <w:r>
        <w:rPr>
          <w:rFonts w:hint="eastAsia" w:ascii="楷体_GB2312" w:eastAsia="楷体_GB2312" w:cs="楷体_GB2312"/>
          <w:b/>
          <w:bCs/>
          <w:i/>
          <w:color w:val="FF0000"/>
          <w:sz w:val="24"/>
          <w:u w:val="single"/>
        </w:rPr>
        <w:t>、【业务合同】、【保证合同】、【债务人】、【保证人】和【基础资产类型】</w:t>
      </w:r>
      <w:r>
        <w:rPr>
          <w:rFonts w:hint="eastAsia" w:ascii="楷体_GB2312" w:eastAsia="楷体_GB2312" w:cs="楷体_GB2312"/>
          <w:b/>
          <w:bCs/>
          <w:i/>
          <w:color w:val="FF0000"/>
          <w:sz w:val="24"/>
          <w:u w:val="single"/>
          <w:lang w:val="en-US" w:eastAsia="zh-CN"/>
        </w:rPr>
        <w:t>等相关定义和条款应</w:t>
      </w:r>
      <w:r>
        <w:rPr>
          <w:rFonts w:hint="eastAsia" w:ascii="楷体_GB2312" w:eastAsia="楷体_GB2312" w:cs="楷体_GB2312"/>
          <w:b/>
          <w:bCs/>
          <w:i/>
          <w:color w:val="FF0000"/>
          <w:sz w:val="24"/>
          <w:u w:val="single"/>
        </w:rPr>
        <w:t>根据基础资产的业务实质和实际情况</w:t>
      </w:r>
      <w:r>
        <w:rPr>
          <w:rFonts w:hint="eastAsia" w:ascii="楷体_GB2312" w:eastAsia="楷体_GB2312" w:cs="楷体_GB2312"/>
          <w:b/>
          <w:bCs/>
          <w:i/>
          <w:color w:val="FF0000"/>
          <w:sz w:val="24"/>
          <w:u w:val="single"/>
          <w:lang w:val="en-US" w:eastAsia="zh-CN"/>
        </w:rPr>
        <w:t>修改，下同</w:t>
      </w:r>
      <w:r>
        <w:rPr>
          <w:rFonts w:hint="eastAsia" w:ascii="楷体_GB2312" w:eastAsia="楷体_GB2312" w:cs="楷体_GB2312"/>
          <w:b/>
          <w:bCs/>
          <w:i/>
          <w:color w:val="FF0000"/>
          <w:sz w:val="24"/>
          <w:u w:val="single"/>
        </w:rPr>
        <w:t>。</w:t>
      </w:r>
      <w:r>
        <w:rPr>
          <w:rFonts w:eastAsia="楷体_GB2312"/>
          <w:b/>
          <w:bCs/>
          <w:i/>
          <w:color w:val="FF0000"/>
          <w:sz w:val="24"/>
          <w:u w:val="single"/>
        </w:rPr>
        <w:t>2</w:t>
      </w:r>
      <w:r>
        <w:rPr>
          <w:rFonts w:hint="eastAsia" w:ascii="楷体_GB2312" w:eastAsia="楷体_GB2312" w:cs="楷体_GB2312"/>
          <w:b/>
          <w:bCs/>
          <w:i/>
          <w:color w:val="FF0000"/>
          <w:sz w:val="24"/>
          <w:u w:val="single"/>
        </w:rPr>
        <w:t>、附属担保权益的类型（包括但不限于抵押权、质权、保证金、第三方保证等）</w:t>
      </w:r>
      <w:r>
        <w:rPr>
          <w:rFonts w:hint="eastAsia" w:ascii="楷体_GB2312" w:eastAsia="楷体_GB2312" w:cs="楷体_GB2312"/>
          <w:b/>
          <w:bCs/>
          <w:i/>
          <w:color w:val="FF0000"/>
          <w:sz w:val="24"/>
          <w:u w:val="single"/>
          <w:lang w:val="en-US" w:eastAsia="zh-CN"/>
        </w:rPr>
        <w:t>应</w:t>
      </w:r>
      <w:r>
        <w:rPr>
          <w:rFonts w:hint="eastAsia" w:ascii="楷体_GB2312" w:eastAsia="楷体_GB2312" w:cs="楷体_GB2312"/>
          <w:b/>
          <w:bCs/>
          <w:i/>
          <w:color w:val="FF0000"/>
          <w:sz w:val="24"/>
          <w:u w:val="single"/>
        </w:rPr>
        <w:t>根据实际情况</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下同</w:t>
      </w:r>
      <w:r>
        <w:rPr>
          <w:rFonts w:hint="eastAsia" w:ascii="楷体_GB2312" w:eastAsia="楷体_GB2312" w:cs="楷体_GB2312"/>
          <w:b/>
          <w:bCs/>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资产清单</w:t>
      </w:r>
      <w:r>
        <w:rPr>
          <w:rFonts w:hint="eastAsia" w:ascii="楷体_GB2312" w:eastAsia="楷体_GB2312" w:cs="楷体_GB2312"/>
          <w:sz w:val="24"/>
        </w:rPr>
        <w:t>：就</w:t>
      </w:r>
      <w:r>
        <w:rPr>
          <w:rFonts w:eastAsia="楷体_GB2312"/>
          <w:bCs/>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而言，系指</w:t>
      </w:r>
      <w:r>
        <w:rPr>
          <w:rFonts w:eastAsia="楷体_GB2312"/>
          <w:bCs/>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准备的，截至</w:t>
      </w:r>
      <w:r>
        <w:rPr>
          <w:rFonts w:eastAsia="楷体_GB2312"/>
          <w:bCs/>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的、有关每笔</w:t>
      </w:r>
      <w:r>
        <w:rPr>
          <w:rFonts w:eastAsia="楷体_GB2312"/>
          <w:bCs/>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相关信息的一览表；就</w:t>
      </w:r>
      <w:r>
        <w:rPr>
          <w:rFonts w:eastAsia="楷体_GB2312"/>
          <w:bCs/>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而言，系指</w:t>
      </w:r>
      <w:r>
        <w:rPr>
          <w:rFonts w:eastAsia="楷体_GB2312"/>
          <w:bCs/>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准备的，截至</w:t>
      </w:r>
      <w:r>
        <w:rPr>
          <w:rFonts w:eastAsia="楷体_GB2312"/>
          <w:bCs/>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的、有关每笔</w:t>
      </w:r>
      <w:r>
        <w:rPr>
          <w:rFonts w:eastAsia="楷体_GB2312"/>
          <w:bCs/>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相关信息的一览表；就</w:t>
      </w:r>
      <w:r>
        <w:rPr>
          <w:rFonts w:eastAsia="楷体_GB2312"/>
          <w:bCs/>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而言，系指</w:t>
      </w:r>
      <w:r>
        <w:rPr>
          <w:rFonts w:eastAsia="楷体_GB2312"/>
          <w:bCs/>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准备的，截至</w:t>
      </w:r>
      <w:r>
        <w:rPr>
          <w:rFonts w:eastAsia="楷体_GB2312"/>
          <w:bCs/>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的、有关每笔</w:t>
      </w:r>
      <w:r>
        <w:rPr>
          <w:rFonts w:eastAsia="楷体_GB2312"/>
          <w:bCs/>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相关信息的一览表。（资产清单所包含信息的形式和内容应为</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所接受，一览表可为计算机文档或缩影胶片）。</w:t>
      </w:r>
      <w:r>
        <w:rPr>
          <w:rFonts w:eastAsia="楷体_GB2312"/>
          <w:sz w:val="24"/>
        </w:rPr>
        <w:t>“</w:t>
      </w:r>
      <w:r>
        <w:rPr>
          <w:rFonts w:hint="eastAsia" w:ascii="楷体_GB2312" w:eastAsia="楷体_GB2312" w:cs="楷体_GB2312"/>
          <w:sz w:val="24"/>
        </w:rPr>
        <w:t>资产清单</w:t>
      </w:r>
      <w:r>
        <w:rPr>
          <w:rFonts w:eastAsia="楷体_GB2312"/>
          <w:sz w:val="24"/>
        </w:rPr>
        <w:t>”</w:t>
      </w:r>
      <w:r>
        <w:rPr>
          <w:rFonts w:hint="eastAsia" w:ascii="楷体_GB2312" w:eastAsia="楷体_GB2312" w:cs="楷体_GB2312"/>
          <w:sz w:val="24"/>
        </w:rPr>
        <w:t>应载明的具体信息见</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b/>
          <w:i/>
          <w:sz w:val="24"/>
        </w:rPr>
        <w:t>附件一</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合格标准：</w:t>
      </w:r>
      <w:r>
        <w:rPr>
          <w:rFonts w:hint="eastAsia" w:ascii="楷体_GB2312" w:eastAsia="楷体_GB2312" w:cs="楷体_GB2312"/>
          <w:bCs/>
          <w:sz w:val="24"/>
        </w:rPr>
        <w:t>就</w:t>
      </w:r>
      <w:r>
        <w:rPr>
          <w:rFonts w:hint="eastAsia" w:ascii="楷体_GB2312" w:eastAsia="楷体_GB2312" w:cs="楷体_GB2312"/>
          <w:sz w:val="24"/>
        </w:rPr>
        <w:t>每一笔</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及其</w:t>
      </w:r>
      <w:r>
        <w:rPr>
          <w:rFonts w:eastAsia="楷体_GB2312"/>
          <w:sz w:val="24"/>
        </w:rPr>
        <w:t>“</w:t>
      </w:r>
      <w:r>
        <w:rPr>
          <w:rFonts w:hint="eastAsia" w:ascii="楷体_GB2312" w:eastAsia="楷体_GB2312" w:cs="楷体_GB2312"/>
          <w:sz w:val="24"/>
        </w:rPr>
        <w:t>附属担保权益</w:t>
      </w:r>
      <w:r>
        <w:rPr>
          <w:rFonts w:eastAsia="楷体_GB2312"/>
          <w:sz w:val="24"/>
        </w:rPr>
        <w:t>”</w:t>
      </w:r>
      <w:r>
        <w:rPr>
          <w:rFonts w:hint="eastAsia" w:ascii="楷体_GB2312" w:eastAsia="楷体_GB2312" w:cs="楷体_GB2312"/>
          <w:sz w:val="24"/>
        </w:rPr>
        <w:t>而言，系指在</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追加信托财产交付日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）或在</w:t>
      </w:r>
      <w:r>
        <w:rPr>
          <w:rFonts w:eastAsia="楷体_GB2312"/>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循环购买日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w:t>
      </w:r>
    </w:p>
    <w:p>
      <w:pPr>
        <w:pStyle w:val="13"/>
        <w:spacing w:beforeLines="50" w:afterLines="50" w:line="240" w:lineRule="atLeast"/>
        <w:ind w:left="850" w:leftChars="405" w:firstLine="1"/>
        <w:rPr>
          <w:rFonts w:eastAsia="楷体_GB2312"/>
          <w:b/>
          <w:i/>
          <w:color w:val="FF0000"/>
          <w:kern w:val="0"/>
          <w:u w:val="single"/>
        </w:rPr>
      </w:pPr>
      <w:r>
        <w:rPr>
          <w:rFonts w:hint="eastAsia" w:ascii="楷体_GB2312" w:eastAsia="楷体_GB2312" w:cs="楷体_GB2312"/>
          <w:b/>
          <w:i/>
          <w:color w:val="FF0000"/>
          <w:kern w:val="0"/>
          <w:u w:val="single"/>
        </w:rPr>
        <w:t>合格标准的具体内容</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r>
        <w:rPr>
          <w:rFonts w:hint="eastAsia" w:ascii="楷体_GB2312" w:eastAsia="楷体_GB2312" w:cs="楷体_GB2312"/>
          <w:b/>
          <w:i/>
          <w:color w:val="FF0000"/>
          <w:kern w:val="0"/>
          <w:u w:val="single"/>
          <w:lang w:val="en-US" w:eastAsia="zh-CN"/>
        </w:rPr>
        <w:t>同时</w:t>
      </w:r>
      <w:r>
        <w:rPr>
          <w:rFonts w:hint="eastAsia" w:ascii="楷体_GB2312" w:eastAsia="楷体_GB2312" w:cs="楷体_GB2312"/>
          <w:b/>
          <w:i/>
          <w:color w:val="FF0000"/>
          <w:kern w:val="0"/>
          <w:u w:val="single"/>
        </w:rPr>
        <w:t>应符合法律法规和监管要求。</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资产保证</w:t>
      </w:r>
      <w:r>
        <w:rPr>
          <w:rFonts w:hint="eastAsia" w:ascii="楷体_GB2312" w:eastAsia="楷体_GB2312" w:cs="楷体_GB2312"/>
          <w:sz w:val="24"/>
        </w:rPr>
        <w:t>：系指委托人在</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第【</w:t>
      </w:r>
      <w:r>
        <w:rPr>
          <w:rFonts w:eastAsia="楷体_GB2312"/>
          <w:sz w:val="24"/>
        </w:rPr>
        <w:t>4.4</w:t>
      </w:r>
      <w:r>
        <w:rPr>
          <w:rFonts w:hint="eastAsia" w:ascii="楷体_GB2312" w:eastAsia="楷体_GB2312" w:cs="楷体_GB2312"/>
          <w:sz w:val="24"/>
        </w:rPr>
        <w:t>】款中所做的关于</w:t>
      </w:r>
      <w:r>
        <w:rPr>
          <w:rFonts w:eastAsia="楷体_GB2312"/>
          <w:sz w:val="24"/>
        </w:rPr>
        <w:t>“</w:t>
      </w:r>
      <w:r>
        <w:rPr>
          <w:rFonts w:hint="eastAsia" w:ascii="楷体_GB2312" w:eastAsia="楷体_GB2312" w:cs="楷体_GB2312"/>
          <w:sz w:val="24"/>
        </w:rPr>
        <w:t>资产池</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追加信托财产交付日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）或在</w:t>
      </w:r>
      <w:r>
        <w:rPr>
          <w:rFonts w:eastAsia="楷体_GB2312"/>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循环购买日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）的状况的全部陈述和保证。</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资产池：</w:t>
      </w:r>
      <w:r>
        <w:rPr>
          <w:rFonts w:hint="eastAsia" w:ascii="楷体_GB2312" w:eastAsia="楷体_GB2312" w:cs="楷体_GB2312"/>
          <w:kern w:val="0"/>
          <w:sz w:val="24"/>
        </w:rPr>
        <w:t>系指任一时点</w:t>
      </w:r>
      <w:r>
        <w:rPr>
          <w:rFonts w:eastAsia="楷体_GB2312"/>
          <w:kern w:val="0"/>
          <w:sz w:val="24"/>
        </w:rPr>
        <w:t>“</w:t>
      </w:r>
      <w:r>
        <w:rPr>
          <w:rFonts w:hint="eastAsia" w:ascii="楷体_GB2312" w:eastAsia="楷体_GB2312" w:cs="楷体_GB2312"/>
          <w:kern w:val="0"/>
          <w:sz w:val="24"/>
        </w:rPr>
        <w:t>资产</w:t>
      </w:r>
      <w:r>
        <w:rPr>
          <w:rFonts w:eastAsia="楷体_GB2312"/>
          <w:kern w:val="0"/>
          <w:sz w:val="24"/>
        </w:rPr>
        <w:t>”</w:t>
      </w:r>
      <w:r>
        <w:rPr>
          <w:rFonts w:hint="eastAsia" w:ascii="楷体_GB2312" w:eastAsia="楷体_GB2312" w:cs="楷体_GB2312"/>
          <w:kern w:val="0"/>
          <w:sz w:val="24"/>
        </w:rPr>
        <w:t>的总和。</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回购资产：</w:t>
      </w:r>
      <w:r>
        <w:rPr>
          <w:rFonts w:hint="eastAsia" w:ascii="楷体_GB2312" w:eastAsia="楷体_GB2312" w:cs="楷体_GB2312"/>
          <w:sz w:val="24"/>
        </w:rPr>
        <w:t>系指一次</w:t>
      </w:r>
      <w:r>
        <w:rPr>
          <w:rFonts w:eastAsia="楷体_GB2312"/>
          <w:sz w:val="24"/>
        </w:rPr>
        <w:t>“</w:t>
      </w:r>
      <w:r>
        <w:rPr>
          <w:rFonts w:hint="eastAsia" w:ascii="楷体_GB2312" w:eastAsia="楷体_GB2312" w:cs="楷体_GB2312"/>
          <w:sz w:val="24"/>
        </w:rPr>
        <w:t>回购</w:t>
      </w:r>
      <w:r>
        <w:rPr>
          <w:rFonts w:eastAsia="楷体_GB2312"/>
          <w:sz w:val="24"/>
        </w:rPr>
        <w:t>”</w:t>
      </w:r>
      <w:r>
        <w:rPr>
          <w:rFonts w:hint="eastAsia" w:ascii="楷体_GB2312" w:eastAsia="楷体_GB2312" w:cs="楷体_GB2312"/>
          <w:sz w:val="24"/>
        </w:rPr>
        <w:t>中，</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向</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回购</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的总和。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不合格资产</w:t>
      </w:r>
      <w:r>
        <w:rPr>
          <w:rFonts w:eastAsia="楷体_GB2312"/>
          <w:b/>
          <w:sz w:val="24"/>
        </w:rPr>
        <w:t>/</w:t>
      </w:r>
      <w:r>
        <w:rPr>
          <w:rFonts w:hint="eastAsia" w:ascii="楷体_GB2312" w:eastAsia="楷体_GB2312" w:cs="楷体_GB2312"/>
          <w:b/>
          <w:sz w:val="24"/>
        </w:rPr>
        <w:t>不合格基础资产：</w:t>
      </w:r>
      <w:r>
        <w:rPr>
          <w:rFonts w:hint="eastAsia" w:ascii="楷体_GB2312" w:eastAsia="楷体_GB2312" w:cs="楷体_GB2312"/>
          <w:bCs/>
          <w:sz w:val="24"/>
        </w:rPr>
        <w:t>在</w:t>
      </w:r>
      <w:r>
        <w:rPr>
          <w:rFonts w:eastAsia="楷体_GB2312"/>
          <w:bCs/>
          <w:sz w:val="24"/>
        </w:rPr>
        <w:t>“</w:t>
      </w:r>
      <w:r>
        <w:rPr>
          <w:rFonts w:hint="eastAsia" w:ascii="楷体_GB2312" w:eastAsia="楷体_GB2312" w:cs="楷体_GB2312"/>
          <w:bCs/>
          <w:sz w:val="24"/>
        </w:rPr>
        <w:t>初始起算日</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信托生效日</w:t>
      </w:r>
      <w:r>
        <w:rPr>
          <w:rFonts w:eastAsia="楷体_GB2312"/>
          <w:bCs/>
          <w:sz w:val="24"/>
        </w:rPr>
        <w:t>”</w:t>
      </w:r>
      <w:r>
        <w:rPr>
          <w:rFonts w:hint="eastAsia" w:ascii="楷体_GB2312" w:eastAsia="楷体_GB2312" w:cs="楷体_GB2312"/>
          <w:bCs/>
          <w:sz w:val="24"/>
        </w:rPr>
        <w:t>（</w:t>
      </w:r>
      <w:r>
        <w:rPr>
          <w:rFonts w:hint="eastAsia" w:ascii="楷体_GB2312" w:eastAsia="楷体_GB2312" w:cs="楷体_GB2312"/>
          <w:sz w:val="24"/>
        </w:rPr>
        <w:t>适用于</w:t>
      </w:r>
      <w:r>
        <w:rPr>
          <w:rFonts w:eastAsia="楷体_GB2312"/>
          <w:bCs/>
          <w:sz w:val="24"/>
        </w:rPr>
        <w:t>“</w:t>
      </w:r>
      <w:r>
        <w:rPr>
          <w:rFonts w:hint="eastAsia" w:ascii="楷体_GB2312" w:eastAsia="楷体_GB2312" w:cs="楷体_GB2312"/>
          <w:sz w:val="24"/>
        </w:rPr>
        <w:t>初始资产</w:t>
      </w:r>
      <w:r>
        <w:rPr>
          <w:rFonts w:eastAsia="楷体_GB2312"/>
          <w:bCs/>
          <w:sz w:val="24"/>
        </w:rPr>
        <w:t>”</w:t>
      </w:r>
      <w:r>
        <w:rPr>
          <w:rFonts w:hint="eastAsia" w:ascii="楷体_GB2312" w:eastAsia="楷体_GB2312" w:cs="楷体_GB2312"/>
          <w:bCs/>
          <w:sz w:val="24"/>
        </w:rPr>
        <w:t>）、在</w:t>
      </w:r>
      <w:r>
        <w:rPr>
          <w:rFonts w:eastAsia="楷体_GB2312"/>
          <w:bCs/>
          <w:sz w:val="24"/>
        </w:rPr>
        <w:t>“</w:t>
      </w:r>
      <w:r>
        <w:rPr>
          <w:rFonts w:hint="eastAsia" w:ascii="楷体_GB2312" w:eastAsia="楷体_GB2312" w:cs="楷体_GB2312"/>
          <w:sz w:val="24"/>
        </w:rPr>
        <w:t>后续起算日</w:t>
      </w:r>
      <w:r>
        <w:rPr>
          <w:rFonts w:eastAsia="楷体_GB2312"/>
          <w:bCs/>
          <w:sz w:val="24"/>
        </w:rPr>
        <w:t>”</w:t>
      </w:r>
      <w:r>
        <w:rPr>
          <w:rFonts w:hint="eastAsia" w:ascii="楷体_GB2312" w:eastAsia="楷体_GB2312" w:cs="楷体_GB2312"/>
          <w:sz w:val="24"/>
        </w:rPr>
        <w:t>和</w:t>
      </w:r>
      <w:r>
        <w:rPr>
          <w:rFonts w:eastAsia="楷体_GB2312"/>
          <w:bCs/>
          <w:sz w:val="24"/>
        </w:rPr>
        <w:t>“</w:t>
      </w:r>
      <w:r>
        <w:rPr>
          <w:rFonts w:hint="eastAsia" w:ascii="楷体_GB2312" w:eastAsia="楷体_GB2312" w:cs="楷体_GB2312"/>
          <w:sz w:val="24"/>
        </w:rPr>
        <w:t>追加信托财产交付日</w:t>
      </w:r>
      <w:r>
        <w:rPr>
          <w:rFonts w:eastAsia="楷体_GB2312"/>
          <w:bCs/>
          <w:sz w:val="24"/>
        </w:rPr>
        <w:t>”</w:t>
      </w:r>
      <w:r>
        <w:rPr>
          <w:rFonts w:hint="eastAsia" w:ascii="楷体_GB2312" w:eastAsia="楷体_GB2312" w:cs="楷体_GB2312"/>
          <w:sz w:val="24"/>
        </w:rPr>
        <w:t>（适用于</w:t>
      </w:r>
      <w:r>
        <w:rPr>
          <w:rFonts w:eastAsia="楷体_GB2312"/>
          <w:bCs/>
          <w:sz w:val="24"/>
        </w:rPr>
        <w:t>“</w:t>
      </w:r>
      <w:r>
        <w:rPr>
          <w:rFonts w:hint="eastAsia" w:ascii="楷体_GB2312" w:eastAsia="楷体_GB2312" w:cs="楷体_GB2312"/>
          <w:sz w:val="24"/>
        </w:rPr>
        <w:t>追加资产</w:t>
      </w:r>
      <w:r>
        <w:rPr>
          <w:rFonts w:eastAsia="楷体_GB2312"/>
          <w:bCs/>
          <w:sz w:val="24"/>
        </w:rPr>
        <w:t>”</w:t>
      </w:r>
      <w:r>
        <w:rPr>
          <w:rFonts w:hint="eastAsia" w:ascii="楷体_GB2312" w:eastAsia="楷体_GB2312" w:cs="楷体_GB2312"/>
          <w:sz w:val="24"/>
        </w:rPr>
        <w:t>）或在</w:t>
      </w:r>
      <w:r>
        <w:rPr>
          <w:rFonts w:eastAsia="楷体_GB2312"/>
          <w:bCs/>
          <w:sz w:val="24"/>
        </w:rPr>
        <w:t>“</w:t>
      </w:r>
      <w:r>
        <w:rPr>
          <w:rFonts w:hint="eastAsia" w:ascii="楷体_GB2312" w:eastAsia="楷体_GB2312" w:cs="楷体_GB2312"/>
          <w:sz w:val="24"/>
        </w:rPr>
        <w:t>循环购买起算日</w:t>
      </w:r>
      <w:r>
        <w:rPr>
          <w:rFonts w:eastAsia="楷体_GB2312"/>
          <w:bCs/>
          <w:sz w:val="24"/>
        </w:rPr>
        <w:t>”</w:t>
      </w:r>
      <w:r>
        <w:rPr>
          <w:rFonts w:hint="eastAsia" w:ascii="楷体_GB2312" w:eastAsia="楷体_GB2312" w:cs="楷体_GB2312"/>
          <w:sz w:val="24"/>
        </w:rPr>
        <w:t>和</w:t>
      </w:r>
      <w:r>
        <w:rPr>
          <w:rFonts w:eastAsia="楷体_GB2312"/>
          <w:bCs/>
          <w:sz w:val="24"/>
        </w:rPr>
        <w:t>“</w:t>
      </w:r>
      <w:r>
        <w:rPr>
          <w:rFonts w:hint="eastAsia" w:ascii="楷体_GB2312" w:eastAsia="楷体_GB2312" w:cs="楷体_GB2312"/>
          <w:sz w:val="24"/>
        </w:rPr>
        <w:t>循环购买日</w:t>
      </w:r>
      <w:r>
        <w:rPr>
          <w:rFonts w:eastAsia="楷体_GB2312"/>
          <w:bCs/>
          <w:sz w:val="24"/>
        </w:rPr>
        <w:t>”</w:t>
      </w:r>
      <w:r>
        <w:rPr>
          <w:rFonts w:hint="eastAsia" w:ascii="楷体_GB2312" w:eastAsia="楷体_GB2312" w:cs="楷体_GB2312"/>
          <w:sz w:val="24"/>
        </w:rPr>
        <w:t>（适用于</w:t>
      </w:r>
      <w:r>
        <w:rPr>
          <w:rFonts w:eastAsia="楷体_GB2312"/>
          <w:bCs/>
          <w:sz w:val="24"/>
        </w:rPr>
        <w:t>“</w:t>
      </w:r>
      <w:r>
        <w:rPr>
          <w:rFonts w:hint="eastAsia" w:ascii="楷体_GB2312" w:eastAsia="楷体_GB2312" w:cs="楷体_GB2312"/>
          <w:sz w:val="24"/>
        </w:rPr>
        <w:t>循环购买资产</w:t>
      </w:r>
      <w:r>
        <w:rPr>
          <w:rFonts w:eastAsia="楷体_GB2312"/>
          <w:bCs/>
          <w:sz w:val="24"/>
        </w:rPr>
        <w:t>”</w:t>
      </w:r>
      <w:r>
        <w:rPr>
          <w:rFonts w:hint="eastAsia" w:ascii="楷体_GB2312" w:eastAsia="楷体_GB2312" w:cs="楷体_GB2312"/>
          <w:sz w:val="24"/>
        </w:rPr>
        <w:t>）</w:t>
      </w:r>
      <w:r>
        <w:rPr>
          <w:rFonts w:hint="eastAsia" w:ascii="楷体_GB2312" w:eastAsia="楷体_GB2312" w:cs="楷体_GB2312"/>
          <w:bCs/>
          <w:sz w:val="24"/>
        </w:rPr>
        <w:t>不符合</w:t>
      </w:r>
      <w:r>
        <w:rPr>
          <w:rFonts w:eastAsia="楷体_GB2312"/>
          <w:bCs/>
          <w:sz w:val="24"/>
        </w:rPr>
        <w:t>“</w:t>
      </w:r>
      <w:r>
        <w:rPr>
          <w:rFonts w:hint="eastAsia" w:ascii="楷体_GB2312" w:eastAsia="楷体_GB2312" w:cs="楷体_GB2312"/>
          <w:bCs/>
          <w:sz w:val="24"/>
        </w:rPr>
        <w:t>资产保证</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资产</w:t>
      </w:r>
      <w:r>
        <w:rPr>
          <w:rFonts w:eastAsia="楷体_GB2312"/>
          <w:bCs/>
          <w:sz w:val="24"/>
        </w:rPr>
        <w:t>”</w:t>
      </w:r>
      <w:r>
        <w:rPr>
          <w:rFonts w:hint="eastAsia" w:ascii="楷体_GB2312" w:eastAsia="楷体_GB2312" w:cs="楷体_GB2312"/>
          <w:bCs/>
          <w:sz w:val="24"/>
        </w:rPr>
        <w:t>。</w:t>
      </w:r>
    </w:p>
    <w:p>
      <w:pPr>
        <w:pStyle w:val="13"/>
        <w:adjustRightInd w:val="0"/>
        <w:spacing w:beforeLines="50" w:afterLines="50" w:line="240" w:lineRule="atLeast"/>
        <w:ind w:left="850" w:leftChars="405"/>
        <w:textAlignment w:val="baseline"/>
        <w:rPr>
          <w:rFonts w:eastAsia="楷体_GB2312"/>
          <w:kern w:val="0"/>
          <w:u w:val="single"/>
        </w:rPr>
      </w:pPr>
      <w:r>
        <w:rPr>
          <w:rFonts w:hint="eastAsia" w:ascii="楷体_GB2312" w:eastAsia="楷体_GB2312" w:cs="楷体_GB2312"/>
          <w:b/>
          <w:i/>
          <w:color w:val="FF0000"/>
          <w:kern w:val="0"/>
          <w:u w:val="single"/>
        </w:rPr>
        <w:t>不合格资产的定义</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kern w:val="0"/>
          <w:sz w:val="24"/>
        </w:rPr>
        <w:t>违约资产</w:t>
      </w:r>
      <w:r>
        <w:rPr>
          <w:rFonts w:eastAsia="楷体_GB2312"/>
          <w:b/>
          <w:kern w:val="0"/>
          <w:sz w:val="24"/>
        </w:rPr>
        <w:t>/</w:t>
      </w:r>
      <w:r>
        <w:rPr>
          <w:rFonts w:hint="eastAsia" w:ascii="楷体_GB2312" w:eastAsia="楷体_GB2312" w:cs="楷体_GB2312"/>
          <w:b/>
          <w:kern w:val="0"/>
          <w:sz w:val="24"/>
        </w:rPr>
        <w:t>违约基础资产：</w:t>
      </w:r>
      <w:r>
        <w:rPr>
          <w:rFonts w:hint="eastAsia" w:ascii="楷体_GB2312" w:eastAsia="楷体_GB2312" w:cs="楷体_GB2312"/>
          <w:kern w:val="0"/>
          <w:sz w:val="24"/>
        </w:rPr>
        <w:t>在无重复计算的情况下，系指出现以下任何一种情况的</w:t>
      </w: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w:t>
      </w:r>
    </w:p>
    <w:p>
      <w:pPr>
        <w:pStyle w:val="13"/>
        <w:numPr>
          <w:ilvl w:val="0"/>
          <w:numId w:val="3"/>
        </w:numPr>
        <w:spacing w:beforeLines="50" w:afterLines="50" w:line="240" w:lineRule="atLeast"/>
        <w:ind w:left="1134" w:hanging="425"/>
        <w:rPr>
          <w:rFonts w:eastAsia="楷体_GB2312"/>
          <w:kern w:val="0"/>
        </w:rPr>
      </w:pPr>
      <w:r>
        <w:rPr>
          <w:rFonts w:hint="eastAsia" w:ascii="楷体_GB2312" w:eastAsia="楷体_GB2312" w:cs="楷体_GB2312"/>
          <w:kern w:val="0"/>
        </w:rPr>
        <w:t>该</w:t>
      </w:r>
      <w:r>
        <w:rPr>
          <w:rFonts w:eastAsia="楷体_GB2312"/>
          <w:kern w:val="0"/>
        </w:rPr>
        <w:t>“</w:t>
      </w:r>
      <w:r>
        <w:rPr>
          <w:rFonts w:hint="eastAsia" w:ascii="楷体_GB2312" w:eastAsia="楷体_GB2312" w:cs="楷体_GB2312"/>
          <w:kern w:val="0"/>
        </w:rPr>
        <w:t>【基础资产类型】</w:t>
      </w:r>
      <w:r>
        <w:rPr>
          <w:rFonts w:eastAsia="楷体_GB2312"/>
          <w:kern w:val="0"/>
        </w:rPr>
        <w:t>”</w:t>
      </w:r>
      <w:r>
        <w:rPr>
          <w:rFonts w:hint="eastAsia" w:ascii="楷体_GB2312" w:eastAsia="楷体_GB2312" w:cs="楷体_GB2312"/>
          <w:kern w:val="0"/>
        </w:rPr>
        <w:t>的任何部分，在</w:t>
      </w:r>
      <w:r>
        <w:rPr>
          <w:rFonts w:eastAsia="楷体_GB2312"/>
          <w:kern w:val="0"/>
        </w:rPr>
        <w:t>“</w:t>
      </w:r>
      <w:r>
        <w:rPr>
          <w:rFonts w:hint="eastAsia" w:ascii="楷体_GB2312" w:eastAsia="楷体_GB2312" w:cs="楷体_GB2312"/>
          <w:kern w:val="0"/>
        </w:rPr>
        <w:t>【业务合同】</w:t>
      </w:r>
      <w:r>
        <w:rPr>
          <w:rFonts w:eastAsia="楷体_GB2312"/>
          <w:kern w:val="0"/>
        </w:rPr>
        <w:t>”</w:t>
      </w:r>
      <w:r>
        <w:rPr>
          <w:rFonts w:hint="eastAsia" w:ascii="楷体_GB2312" w:eastAsia="楷体_GB2312" w:cs="楷体_GB2312"/>
          <w:kern w:val="0"/>
        </w:rPr>
        <w:t>中</w:t>
      </w:r>
      <w:r>
        <w:rPr>
          <w:rFonts w:hint="eastAsia" w:ascii="楷体_GB2312" w:eastAsia="楷体_GB2312" w:cs="楷体_GB2312"/>
          <w:bCs/>
          <w:kern w:val="0"/>
        </w:rPr>
        <w:t>约定</w:t>
      </w:r>
      <w:r>
        <w:rPr>
          <w:rFonts w:hint="eastAsia" w:ascii="楷体_GB2312" w:eastAsia="楷体_GB2312" w:cs="楷体_GB2312"/>
          <w:kern w:val="0"/>
        </w:rPr>
        <w:t>的付款日后，超过【】日（不含【】日）仍未偿还；或</w:t>
      </w:r>
    </w:p>
    <w:p>
      <w:pPr>
        <w:pStyle w:val="13"/>
        <w:numPr>
          <w:ilvl w:val="0"/>
          <w:numId w:val="3"/>
        </w:numPr>
        <w:spacing w:beforeLines="50" w:afterLines="50" w:line="240" w:lineRule="atLeast"/>
        <w:ind w:left="1134" w:hanging="425"/>
        <w:rPr>
          <w:rFonts w:eastAsia="楷体_GB2312"/>
          <w:kern w:val="0"/>
        </w:rPr>
      </w:pPr>
      <w:r>
        <w:rPr>
          <w:rFonts w:hint="eastAsia" w:ascii="楷体_GB2312" w:eastAsia="楷体_GB2312" w:cs="楷体_GB2312"/>
          <w:kern w:val="0"/>
        </w:rPr>
        <w:t>予以重组或展期的</w:t>
      </w:r>
      <w:r>
        <w:rPr>
          <w:rFonts w:eastAsia="楷体_GB2312"/>
          <w:kern w:val="0"/>
        </w:rPr>
        <w:t>“</w:t>
      </w:r>
      <w:r>
        <w:rPr>
          <w:rFonts w:hint="eastAsia" w:ascii="楷体_GB2312" w:eastAsia="楷体_GB2312" w:cs="楷体_GB2312"/>
          <w:kern w:val="0"/>
        </w:rPr>
        <w:t>【基础资产类型】</w:t>
      </w:r>
      <w:r>
        <w:rPr>
          <w:rFonts w:eastAsia="楷体_GB2312"/>
          <w:kern w:val="0"/>
        </w:rPr>
        <w:t>”</w:t>
      </w:r>
      <w:r>
        <w:rPr>
          <w:rFonts w:hint="eastAsia" w:ascii="楷体_GB2312" w:eastAsia="楷体_GB2312" w:cs="楷体_GB2312"/>
          <w:kern w:val="0"/>
        </w:rPr>
        <w:t>。</w:t>
      </w:r>
    </w:p>
    <w:p>
      <w:pPr>
        <w:adjustRightInd w:val="0"/>
        <w:spacing w:beforeLines="50" w:afterLines="50" w:line="240" w:lineRule="atLeast"/>
        <w:ind w:left="851"/>
        <w:textAlignment w:val="baseline"/>
        <w:rPr>
          <w:rFonts w:eastAsia="楷体_GB2312"/>
          <w:szCs w:val="21"/>
        </w:rPr>
      </w:pP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在被认定为</w:t>
      </w:r>
      <w:r>
        <w:rPr>
          <w:rFonts w:eastAsia="楷体_GB2312"/>
          <w:kern w:val="0"/>
          <w:sz w:val="24"/>
        </w:rPr>
        <w:t>“</w:t>
      </w:r>
      <w:r>
        <w:rPr>
          <w:rFonts w:hint="eastAsia" w:ascii="楷体_GB2312" w:eastAsia="楷体_GB2312" w:cs="楷体_GB2312"/>
          <w:kern w:val="0"/>
          <w:sz w:val="24"/>
        </w:rPr>
        <w:t>违约资产</w:t>
      </w:r>
      <w:r>
        <w:rPr>
          <w:rFonts w:eastAsia="楷体_GB2312"/>
          <w:kern w:val="0"/>
          <w:sz w:val="24"/>
        </w:rPr>
        <w:t>”</w:t>
      </w:r>
      <w:r>
        <w:rPr>
          <w:rFonts w:hint="eastAsia" w:ascii="楷体_GB2312" w:eastAsia="楷体_GB2312" w:cs="楷体_GB2312"/>
          <w:kern w:val="0"/>
          <w:sz w:val="24"/>
        </w:rPr>
        <w:t>后，即使</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【保证人】</w:t>
      </w:r>
      <w:r>
        <w:rPr>
          <w:rFonts w:eastAsia="楷体_GB2312"/>
          <w:kern w:val="0"/>
          <w:sz w:val="24"/>
        </w:rPr>
        <w:t>”</w:t>
      </w:r>
      <w:r>
        <w:rPr>
          <w:rFonts w:hint="eastAsia" w:ascii="楷体_GB2312" w:eastAsia="楷体_GB2312" w:cs="楷体_GB2312"/>
          <w:kern w:val="0"/>
          <w:sz w:val="24"/>
        </w:rPr>
        <w:t>又正常履行债务支付该笔</w:t>
      </w: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，该笔</w:t>
      </w: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仍不能恢复为正常</w:t>
      </w:r>
      <w:r>
        <w:rPr>
          <w:rFonts w:eastAsia="楷体_GB2312"/>
          <w:kern w:val="0"/>
          <w:sz w:val="24"/>
        </w:rPr>
        <w:t>“</w:t>
      </w:r>
      <w:r>
        <w:rPr>
          <w:rFonts w:hint="eastAsia" w:ascii="楷体_GB2312" w:eastAsia="楷体_GB2312" w:cs="楷体_GB2312"/>
          <w:kern w:val="0"/>
          <w:sz w:val="24"/>
        </w:rPr>
        <w:t>【基础资产类型】</w:t>
      </w:r>
      <w:r>
        <w:rPr>
          <w:rFonts w:eastAsia="楷体_GB2312"/>
          <w:kern w:val="0"/>
          <w:sz w:val="24"/>
        </w:rPr>
        <w:t>”</w:t>
      </w:r>
      <w:r>
        <w:rPr>
          <w:rFonts w:hint="eastAsia" w:ascii="楷体_GB2312" w:eastAsia="楷体_GB2312" w:cs="楷体_GB2312"/>
          <w:kern w:val="0"/>
          <w:sz w:val="24"/>
        </w:rPr>
        <w:t>。</w:t>
      </w:r>
    </w:p>
    <w:p>
      <w:pPr>
        <w:pStyle w:val="13"/>
        <w:spacing w:beforeLines="50" w:afterLines="50" w:line="240" w:lineRule="atLeast"/>
        <w:ind w:left="850" w:leftChars="405" w:firstLine="1"/>
        <w:rPr>
          <w:rFonts w:eastAsia="楷体_GB2312"/>
          <w:b/>
          <w:i/>
          <w:color w:val="FF0000"/>
          <w:kern w:val="0"/>
          <w:u w:val="single"/>
        </w:rPr>
      </w:pPr>
      <w:r>
        <w:rPr>
          <w:rFonts w:hint="eastAsia" w:ascii="楷体_GB2312" w:eastAsia="楷体_GB2312" w:cs="楷体_GB2312"/>
          <w:b/>
          <w:i/>
          <w:color w:val="FF0000"/>
          <w:kern w:val="0"/>
          <w:u w:val="single"/>
        </w:rPr>
        <w:t>违约资产的定义</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p>
    <w:p>
      <w:pPr>
        <w:numPr>
          <w:ilvl w:val="1"/>
          <w:numId w:val="2"/>
        </w:numPr>
        <w:adjustRightInd w:val="0"/>
        <w:spacing w:beforeLines="50" w:afterLines="50" w:line="240" w:lineRule="atLeast"/>
        <w:ind w:left="851" w:hanging="851"/>
        <w:textAlignment w:val="baseline"/>
        <w:rPr>
          <w:rFonts w:eastAsia="楷体_GB2312"/>
          <w:kern w:val="0"/>
          <w:sz w:val="24"/>
        </w:rPr>
      </w:pPr>
      <w:r>
        <w:rPr>
          <w:rFonts w:hint="eastAsia" w:ascii="楷体_GB2312" w:eastAsia="楷体_GB2312" w:cs="楷体_GB2312"/>
          <w:b/>
          <w:kern w:val="0"/>
          <w:sz w:val="24"/>
        </w:rPr>
        <w:t>追加交付：</w:t>
      </w:r>
      <w:r>
        <w:rPr>
          <w:rFonts w:hint="eastAsia" w:ascii="楷体_GB2312" w:eastAsia="楷体_GB2312" w:cs="楷体_GB2312"/>
          <w:kern w:val="0"/>
          <w:sz w:val="24"/>
        </w:rPr>
        <w:t>系指在</w:t>
      </w:r>
      <w:r>
        <w:rPr>
          <w:rFonts w:eastAsia="楷体_GB2312"/>
          <w:kern w:val="0"/>
          <w:sz w:val="24"/>
        </w:rPr>
        <w:t>“</w:t>
      </w:r>
      <w:r>
        <w:rPr>
          <w:rFonts w:hint="eastAsia" w:ascii="楷体_GB2312" w:eastAsia="楷体_GB2312" w:cs="楷体_GB2312"/>
          <w:kern w:val="0"/>
          <w:sz w:val="24"/>
        </w:rPr>
        <w:t>信托期限</w:t>
      </w:r>
      <w:r>
        <w:rPr>
          <w:rFonts w:eastAsia="楷体_GB2312"/>
          <w:kern w:val="0"/>
          <w:sz w:val="24"/>
        </w:rPr>
        <w:t>”</w:t>
      </w:r>
      <w:r>
        <w:rPr>
          <w:rFonts w:hint="eastAsia" w:ascii="楷体_GB2312" w:eastAsia="楷体_GB2312" w:cs="楷体_GB2312"/>
          <w:kern w:val="0"/>
          <w:sz w:val="24"/>
        </w:rPr>
        <w:t>内，对应某一次</w:t>
      </w:r>
      <w:r>
        <w:rPr>
          <w:rFonts w:eastAsia="楷体_GB2312"/>
          <w:kern w:val="0"/>
          <w:sz w:val="24"/>
        </w:rPr>
        <w:t>“</w:t>
      </w:r>
      <w:r>
        <w:rPr>
          <w:rFonts w:hint="eastAsia" w:ascii="楷体_GB2312" w:eastAsia="楷体_GB2312" w:cs="楷体_GB2312"/>
          <w:kern w:val="0"/>
          <w:sz w:val="24"/>
        </w:rPr>
        <w:t>滚动发行</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将符合</w:t>
      </w:r>
      <w:r>
        <w:rPr>
          <w:rFonts w:eastAsia="楷体_GB2312"/>
          <w:kern w:val="0"/>
          <w:sz w:val="24"/>
        </w:rPr>
        <w:t>“</w:t>
      </w:r>
      <w:r>
        <w:rPr>
          <w:rFonts w:hint="eastAsia" w:ascii="楷体_GB2312" w:eastAsia="楷体_GB2312" w:cs="楷体_GB2312"/>
          <w:kern w:val="0"/>
          <w:sz w:val="24"/>
        </w:rPr>
        <w:t>合格标准</w:t>
      </w:r>
      <w:r>
        <w:rPr>
          <w:rFonts w:eastAsia="楷体_GB2312"/>
          <w:kern w:val="0"/>
          <w:sz w:val="24"/>
        </w:rPr>
        <w:t>”</w:t>
      </w:r>
      <w:r>
        <w:rPr>
          <w:rFonts w:hint="eastAsia" w:ascii="楷体_GB2312" w:eastAsia="楷体_GB2312" w:cs="楷体_GB2312"/>
          <w:kern w:val="0"/>
          <w:sz w:val="24"/>
        </w:rPr>
        <w:t>及</w:t>
      </w:r>
      <w:r>
        <w:rPr>
          <w:rFonts w:eastAsia="楷体_GB2312"/>
          <w:kern w:val="0"/>
          <w:sz w:val="24"/>
        </w:rPr>
        <w:t>“</w:t>
      </w:r>
      <w:r>
        <w:rPr>
          <w:rFonts w:hint="eastAsia" w:ascii="楷体_GB2312" w:eastAsia="楷体_GB2312" w:cs="楷体_GB2312"/>
          <w:kern w:val="0"/>
          <w:sz w:val="24"/>
        </w:rPr>
        <w:t>资产保证</w:t>
      </w:r>
      <w:r>
        <w:rPr>
          <w:rFonts w:eastAsia="楷体_GB2312"/>
          <w:kern w:val="0"/>
          <w:sz w:val="24"/>
        </w:rPr>
        <w:t>”</w:t>
      </w:r>
      <w:r>
        <w:rPr>
          <w:rFonts w:hint="eastAsia" w:ascii="楷体_GB2312" w:eastAsia="楷体_GB2312" w:cs="楷体_GB2312"/>
          <w:kern w:val="0"/>
          <w:sz w:val="24"/>
        </w:rPr>
        <w:t>的新增</w:t>
      </w:r>
      <w:r>
        <w:rPr>
          <w:rFonts w:eastAsia="楷体_GB2312"/>
          <w:kern w:val="0"/>
          <w:sz w:val="24"/>
        </w:rPr>
        <w:t>“</w:t>
      </w:r>
      <w:r>
        <w:rPr>
          <w:rFonts w:hint="eastAsia" w:ascii="楷体_GB2312" w:eastAsia="楷体_GB2312" w:cs="楷体_GB2312"/>
          <w:kern w:val="0"/>
          <w:sz w:val="24"/>
        </w:rPr>
        <w:t>基础资产</w:t>
      </w:r>
      <w:r>
        <w:rPr>
          <w:rFonts w:eastAsia="楷体_GB2312"/>
          <w:kern w:val="0"/>
          <w:sz w:val="24"/>
        </w:rPr>
        <w:t>”</w:t>
      </w:r>
      <w:r>
        <w:rPr>
          <w:rFonts w:hint="eastAsia" w:ascii="楷体_GB2312" w:eastAsia="楷体_GB2312" w:cs="楷体_GB2312"/>
          <w:kern w:val="0"/>
          <w:sz w:val="24"/>
        </w:rPr>
        <w:t>委托予</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的行为。【追加交付是</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的一项选择权。】</w:t>
      </w:r>
    </w:p>
    <w:p>
      <w:pPr>
        <w:pStyle w:val="13"/>
        <w:spacing w:beforeLines="50" w:afterLines="50" w:line="240" w:lineRule="atLeast"/>
        <w:ind w:left="850" w:leftChars="405" w:firstLine="1"/>
        <w:rPr>
          <w:rFonts w:eastAsia="楷体_GB2312"/>
          <w:b/>
          <w:i/>
          <w:color w:val="FF0000"/>
          <w:kern w:val="0"/>
          <w:u w:val="single"/>
        </w:rPr>
      </w:pPr>
      <w:r>
        <w:rPr>
          <w:rFonts w:eastAsia="楷体_GB2312"/>
          <w:b/>
          <w:i/>
          <w:color w:val="FF0000"/>
          <w:kern w:val="0"/>
          <w:u w:val="single"/>
        </w:rPr>
        <w:t>1</w:t>
      </w:r>
      <w:r>
        <w:rPr>
          <w:rFonts w:hint="eastAsia" w:ascii="楷体_GB2312" w:eastAsia="楷体_GB2312" w:cs="楷体_GB2312"/>
          <w:b/>
          <w:i/>
          <w:color w:val="FF0000"/>
          <w:kern w:val="0"/>
          <w:u w:val="single"/>
        </w:rPr>
        <w:t>、是否设置追加交付机制</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w:t>
      </w:r>
      <w:bookmarkStart w:id="10" w:name="_DV_M139"/>
      <w:bookmarkEnd w:id="10"/>
      <w:r>
        <w:rPr>
          <w:rFonts w:hint="eastAsia" w:ascii="楷体_GB2312" w:eastAsia="楷体_GB2312" w:cs="楷体_GB2312"/>
          <w:b/>
          <w:i/>
          <w:color w:val="FF0000"/>
          <w:kern w:val="0"/>
          <w:u w:val="single"/>
        </w:rPr>
        <w:t>情况调整</w:t>
      </w:r>
      <w:r>
        <w:rPr>
          <w:rFonts w:hint="eastAsia" w:ascii="楷体_GB2312" w:eastAsia="楷体_GB2312" w:cs="楷体_GB2312"/>
          <w:b/>
          <w:i/>
          <w:color w:val="FF0000"/>
          <w:kern w:val="0"/>
          <w:u w:val="single"/>
          <w:lang w:eastAsia="zh-CN"/>
        </w:rPr>
        <w:t>，</w:t>
      </w:r>
      <w:r>
        <w:rPr>
          <w:rFonts w:hint="eastAsia" w:ascii="楷体_GB2312" w:eastAsia="楷体_GB2312" w:cs="楷体_GB2312"/>
          <w:b/>
          <w:i/>
          <w:color w:val="FF0000"/>
          <w:kern w:val="0"/>
          <w:u w:val="single"/>
        </w:rPr>
        <w:t>如不适用则</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删除相关定义和条款，下同。</w:t>
      </w:r>
      <w:r>
        <w:rPr>
          <w:rFonts w:eastAsia="楷体_GB2312"/>
          <w:b/>
          <w:i/>
          <w:color w:val="FF0000"/>
          <w:kern w:val="0"/>
          <w:u w:val="single"/>
        </w:rPr>
        <w:t>2</w:t>
      </w:r>
      <w:r>
        <w:rPr>
          <w:rFonts w:hint="eastAsia" w:ascii="楷体_GB2312" w:eastAsia="楷体_GB2312" w:cs="楷体_GB2312"/>
          <w:b/>
          <w:i/>
          <w:color w:val="FF0000"/>
          <w:kern w:val="0"/>
          <w:u w:val="single"/>
        </w:rPr>
        <w:t>、权利归属</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p>
    <w:p>
      <w:pPr>
        <w:numPr>
          <w:ilvl w:val="1"/>
          <w:numId w:val="2"/>
        </w:numPr>
        <w:adjustRightInd w:val="0"/>
        <w:spacing w:beforeLines="50" w:afterLines="50" w:line="240" w:lineRule="atLeast"/>
        <w:ind w:left="851" w:hanging="851"/>
        <w:textAlignment w:val="baseline"/>
        <w:rPr>
          <w:rFonts w:eastAsia="楷体_GB2312"/>
          <w:kern w:val="0"/>
          <w:sz w:val="24"/>
        </w:rPr>
      </w:pPr>
      <w:r>
        <w:rPr>
          <w:rFonts w:hint="eastAsia" w:ascii="楷体_GB2312" w:eastAsia="楷体_GB2312" w:cs="楷体_GB2312"/>
          <w:b/>
          <w:kern w:val="0"/>
          <w:sz w:val="24"/>
        </w:rPr>
        <w:t>循环购买：</w:t>
      </w:r>
      <w:r>
        <w:rPr>
          <w:rFonts w:hint="eastAsia" w:ascii="楷体_GB2312" w:eastAsia="楷体_GB2312" w:cs="楷体_GB2312"/>
          <w:kern w:val="0"/>
          <w:sz w:val="24"/>
        </w:rPr>
        <w:t>系指在</w:t>
      </w:r>
      <w:r>
        <w:rPr>
          <w:rFonts w:eastAsia="楷体_GB2312"/>
          <w:kern w:val="0"/>
          <w:sz w:val="24"/>
        </w:rPr>
        <w:t>“</w:t>
      </w:r>
      <w:r>
        <w:rPr>
          <w:rFonts w:hint="eastAsia" w:ascii="楷体_GB2312" w:eastAsia="楷体_GB2312" w:cs="楷体_GB2312"/>
          <w:kern w:val="0"/>
          <w:sz w:val="24"/>
        </w:rPr>
        <w:t>循环期</w:t>
      </w:r>
      <w:r>
        <w:rPr>
          <w:rFonts w:eastAsia="楷体_GB2312"/>
          <w:kern w:val="0"/>
          <w:sz w:val="24"/>
        </w:rPr>
        <w:t>”</w:t>
      </w:r>
      <w:r>
        <w:rPr>
          <w:rFonts w:hint="eastAsia" w:ascii="楷体_GB2312" w:eastAsia="楷体_GB2312" w:cs="楷体_GB2312"/>
          <w:kern w:val="0"/>
          <w:sz w:val="24"/>
        </w:rPr>
        <w:t>内，</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13</w:t>
      </w:r>
      <w:r>
        <w:rPr>
          <w:rFonts w:hint="eastAsia" w:ascii="楷体_GB2312" w:eastAsia="楷体_GB2312" w:cs="楷体_GB2312"/>
          <w:kern w:val="0"/>
          <w:sz w:val="24"/>
        </w:rPr>
        <w:t>】条的约定，以</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中的可用资金作为对价，在</w:t>
      </w:r>
      <w:r>
        <w:rPr>
          <w:rFonts w:eastAsia="楷体_GB2312"/>
          <w:kern w:val="0"/>
          <w:sz w:val="24"/>
        </w:rPr>
        <w:t>“</w:t>
      </w:r>
      <w:r>
        <w:rPr>
          <w:rFonts w:hint="eastAsia" w:ascii="楷体_GB2312" w:eastAsia="楷体_GB2312" w:cs="楷体_GB2312"/>
          <w:kern w:val="0"/>
          <w:sz w:val="24"/>
        </w:rPr>
        <w:t>循环购买日</w:t>
      </w:r>
      <w:r>
        <w:rPr>
          <w:rFonts w:eastAsia="楷体_GB2312"/>
          <w:kern w:val="0"/>
          <w:sz w:val="24"/>
        </w:rPr>
        <w:t>”</w:t>
      </w:r>
      <w:r>
        <w:rPr>
          <w:rFonts w:hint="eastAsia" w:ascii="楷体_GB2312" w:eastAsia="楷体_GB2312" w:cs="楷体_GB2312"/>
          <w:kern w:val="0"/>
          <w:sz w:val="24"/>
        </w:rPr>
        <w:t>向</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购买符合</w:t>
      </w:r>
      <w:r>
        <w:rPr>
          <w:rFonts w:eastAsia="楷体_GB2312"/>
          <w:kern w:val="0"/>
          <w:sz w:val="24"/>
        </w:rPr>
        <w:t>“</w:t>
      </w:r>
      <w:r>
        <w:rPr>
          <w:rFonts w:hint="eastAsia" w:ascii="楷体_GB2312" w:eastAsia="楷体_GB2312" w:cs="楷体_GB2312"/>
          <w:kern w:val="0"/>
          <w:sz w:val="24"/>
        </w:rPr>
        <w:t>合格标准</w:t>
      </w:r>
      <w:r>
        <w:rPr>
          <w:rFonts w:eastAsia="楷体_GB2312"/>
          <w:kern w:val="0"/>
          <w:sz w:val="24"/>
        </w:rPr>
        <w:t>”</w:t>
      </w:r>
      <w:r>
        <w:rPr>
          <w:rFonts w:hint="eastAsia" w:ascii="楷体_GB2312" w:eastAsia="楷体_GB2312" w:cs="楷体_GB2312"/>
          <w:kern w:val="0"/>
          <w:sz w:val="24"/>
        </w:rPr>
        <w:t>及</w:t>
      </w:r>
      <w:r>
        <w:rPr>
          <w:rFonts w:eastAsia="楷体_GB2312"/>
          <w:kern w:val="0"/>
          <w:sz w:val="24"/>
        </w:rPr>
        <w:t>“</w:t>
      </w:r>
      <w:r>
        <w:rPr>
          <w:rFonts w:hint="eastAsia" w:ascii="楷体_GB2312" w:eastAsia="楷体_GB2312" w:cs="楷体_GB2312"/>
          <w:kern w:val="0"/>
          <w:sz w:val="24"/>
        </w:rPr>
        <w:t>资产保证</w:t>
      </w:r>
      <w:r>
        <w:rPr>
          <w:rFonts w:eastAsia="楷体_GB2312"/>
          <w:kern w:val="0"/>
          <w:sz w:val="24"/>
        </w:rPr>
        <w:t>”</w:t>
      </w:r>
      <w:r>
        <w:rPr>
          <w:rFonts w:hint="eastAsia" w:ascii="楷体_GB2312" w:eastAsia="楷体_GB2312" w:cs="楷体_GB2312"/>
          <w:kern w:val="0"/>
          <w:sz w:val="24"/>
        </w:rPr>
        <w:t>的</w:t>
      </w:r>
      <w:r>
        <w:rPr>
          <w:rFonts w:eastAsia="楷体_GB2312"/>
          <w:kern w:val="0"/>
          <w:sz w:val="24"/>
        </w:rPr>
        <w:t>“</w:t>
      </w:r>
      <w:r>
        <w:rPr>
          <w:rFonts w:hint="eastAsia" w:ascii="楷体_GB2312" w:eastAsia="楷体_GB2312" w:cs="楷体_GB2312"/>
          <w:kern w:val="0"/>
          <w:sz w:val="24"/>
        </w:rPr>
        <w:t>基础资产</w:t>
      </w:r>
      <w:r>
        <w:rPr>
          <w:rFonts w:eastAsia="楷体_GB2312"/>
          <w:kern w:val="0"/>
          <w:sz w:val="24"/>
        </w:rPr>
        <w:t>”</w:t>
      </w:r>
      <w:r>
        <w:rPr>
          <w:rFonts w:hint="eastAsia" w:ascii="楷体_GB2312" w:eastAsia="楷体_GB2312" w:cs="楷体_GB2312"/>
          <w:kern w:val="0"/>
          <w:sz w:val="24"/>
        </w:rPr>
        <w:t>的行为。</w:t>
      </w:r>
    </w:p>
    <w:p>
      <w:pPr>
        <w:pStyle w:val="13"/>
        <w:spacing w:beforeLines="50" w:afterLines="50" w:line="240" w:lineRule="atLeast"/>
        <w:ind w:left="850" w:leftChars="405" w:firstLine="1"/>
        <w:rPr>
          <w:rFonts w:eastAsia="楷体_GB2312"/>
          <w:b/>
          <w:i/>
          <w:color w:val="FF0000"/>
          <w:kern w:val="0"/>
          <w:u w:val="single"/>
        </w:rPr>
      </w:pPr>
      <w:r>
        <w:rPr>
          <w:rFonts w:eastAsia="楷体_GB2312"/>
          <w:b/>
          <w:i/>
          <w:color w:val="FF0000"/>
          <w:kern w:val="0"/>
          <w:u w:val="single"/>
        </w:rPr>
        <w:t>1</w:t>
      </w:r>
      <w:r>
        <w:rPr>
          <w:rFonts w:hint="eastAsia" w:ascii="楷体_GB2312" w:eastAsia="楷体_GB2312" w:cs="楷体_GB2312"/>
          <w:b/>
          <w:i/>
          <w:color w:val="FF0000"/>
          <w:kern w:val="0"/>
          <w:u w:val="single"/>
        </w:rPr>
        <w:t>、是否设置循环购买机制、循环购买机制的具体安排</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r>
        <w:rPr>
          <w:rFonts w:hint="eastAsia" w:ascii="楷体_GB2312" w:eastAsia="楷体_GB2312" w:cs="楷体_GB2312"/>
          <w:b/>
          <w:i/>
          <w:color w:val="FF0000"/>
          <w:kern w:val="0"/>
          <w:u w:val="single"/>
          <w:lang w:eastAsia="zh-CN"/>
        </w:rPr>
        <w:t>，</w:t>
      </w:r>
      <w:r>
        <w:rPr>
          <w:rFonts w:hint="eastAsia" w:ascii="楷体_GB2312" w:eastAsia="楷体_GB2312" w:cs="楷体_GB2312"/>
          <w:b/>
          <w:i/>
          <w:color w:val="FF0000"/>
          <w:kern w:val="0"/>
          <w:u w:val="single"/>
        </w:rPr>
        <w:t>如不适用则</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删除</w:t>
      </w:r>
      <w:r>
        <w:rPr>
          <w:rFonts w:hint="eastAsia" w:ascii="楷体_GB2312" w:eastAsia="楷体_GB2312" w:cs="楷体_GB2312"/>
          <w:b/>
          <w:i/>
          <w:color w:val="FF0000"/>
          <w:kern w:val="0"/>
          <w:u w:val="single"/>
          <w:lang w:eastAsia="zh-CN"/>
        </w:rPr>
        <w:t>、</w:t>
      </w:r>
      <w:r>
        <w:rPr>
          <w:rFonts w:hint="eastAsia" w:ascii="楷体_GB2312" w:eastAsia="楷体_GB2312" w:cs="楷体_GB2312"/>
          <w:b/>
          <w:i/>
          <w:color w:val="FF0000"/>
          <w:kern w:val="0"/>
          <w:u w:val="single"/>
          <w:lang w:val="en-US" w:eastAsia="zh-CN"/>
        </w:rPr>
        <w:t>调整</w:t>
      </w:r>
      <w:r>
        <w:rPr>
          <w:rFonts w:hint="eastAsia" w:ascii="楷体_GB2312" w:eastAsia="楷体_GB2312" w:cs="楷体_GB2312"/>
          <w:b/>
          <w:i/>
          <w:color w:val="FF0000"/>
          <w:kern w:val="0"/>
          <w:u w:val="single"/>
        </w:rPr>
        <w:t>相关定义和条款，下同。</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bCs/>
          <w:sz w:val="24"/>
        </w:rPr>
        <w:t>回购：</w:t>
      </w:r>
      <w:r>
        <w:rPr>
          <w:rFonts w:hint="eastAsia" w:ascii="楷体_GB2312" w:eastAsia="楷体_GB2312" w:cs="楷体_GB2312"/>
          <w:kern w:val="0"/>
          <w:sz w:val="24"/>
        </w:rPr>
        <w:t>系指在</w:t>
      </w:r>
      <w:r>
        <w:rPr>
          <w:rFonts w:eastAsia="楷体_GB2312"/>
          <w:kern w:val="0"/>
          <w:sz w:val="24"/>
        </w:rPr>
        <w:t>“</w:t>
      </w:r>
      <w:r>
        <w:rPr>
          <w:rFonts w:hint="eastAsia" w:ascii="楷体_GB2312" w:eastAsia="楷体_GB2312" w:cs="楷体_GB2312"/>
          <w:kern w:val="0"/>
          <w:sz w:val="24"/>
        </w:rPr>
        <w:t>信托期限</w:t>
      </w:r>
      <w:r>
        <w:rPr>
          <w:rFonts w:eastAsia="楷体_GB2312"/>
          <w:kern w:val="0"/>
          <w:sz w:val="24"/>
        </w:rPr>
        <w:t>”</w:t>
      </w:r>
      <w:r>
        <w:rPr>
          <w:rFonts w:hint="eastAsia" w:ascii="楷体_GB2312" w:eastAsia="楷体_GB2312" w:cs="楷体_GB2312"/>
          <w:kern w:val="0"/>
          <w:sz w:val="24"/>
        </w:rPr>
        <w:t>内，</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15</w:t>
      </w:r>
      <w:r>
        <w:rPr>
          <w:rFonts w:hint="eastAsia" w:ascii="楷体_GB2312" w:eastAsia="楷体_GB2312" w:cs="楷体_GB2312"/>
          <w:kern w:val="0"/>
          <w:sz w:val="24"/>
        </w:rPr>
        <w:t>】条的约定回购</w:t>
      </w:r>
      <w:r>
        <w:rPr>
          <w:rFonts w:eastAsia="楷体_GB2312"/>
          <w:kern w:val="0"/>
          <w:sz w:val="24"/>
        </w:rPr>
        <w:t>“</w:t>
      </w:r>
      <w:r>
        <w:rPr>
          <w:rFonts w:hint="eastAsia" w:ascii="楷体_GB2312" w:eastAsia="楷体_GB2312" w:cs="楷体_GB2312"/>
          <w:kern w:val="0"/>
          <w:sz w:val="24"/>
        </w:rPr>
        <w:t>资产池</w:t>
      </w:r>
      <w:r>
        <w:rPr>
          <w:rFonts w:eastAsia="楷体_GB2312"/>
          <w:kern w:val="0"/>
          <w:sz w:val="24"/>
        </w:rPr>
        <w:t>”</w:t>
      </w:r>
      <w:r>
        <w:rPr>
          <w:rFonts w:hint="eastAsia" w:ascii="楷体_GB2312" w:eastAsia="楷体_GB2312" w:cs="楷体_GB2312"/>
          <w:kern w:val="0"/>
          <w:sz w:val="24"/>
        </w:rPr>
        <w:t>中部分或全部</w:t>
      </w:r>
      <w:r>
        <w:rPr>
          <w:rFonts w:eastAsia="楷体_GB2312"/>
          <w:kern w:val="0"/>
          <w:sz w:val="24"/>
        </w:rPr>
        <w:t>“</w:t>
      </w:r>
      <w:r>
        <w:rPr>
          <w:rFonts w:hint="eastAsia" w:ascii="楷体_GB2312" w:eastAsia="楷体_GB2312" w:cs="楷体_GB2312"/>
          <w:kern w:val="0"/>
          <w:sz w:val="24"/>
        </w:rPr>
        <w:t>资产</w:t>
      </w:r>
      <w:r>
        <w:rPr>
          <w:rFonts w:eastAsia="楷体_GB2312"/>
          <w:kern w:val="0"/>
          <w:sz w:val="24"/>
        </w:rPr>
        <w:t>”</w:t>
      </w:r>
      <w:r>
        <w:rPr>
          <w:rFonts w:hint="eastAsia" w:ascii="楷体_GB2312" w:eastAsia="楷体_GB2312" w:cs="楷体_GB2312"/>
          <w:kern w:val="0"/>
          <w:sz w:val="24"/>
        </w:rPr>
        <w:t>的行为。【具体而言：</w:t>
      </w:r>
    </w:p>
    <w:p>
      <w:pPr>
        <w:pStyle w:val="13"/>
        <w:numPr>
          <w:ilvl w:val="0"/>
          <w:numId w:val="4"/>
        </w:numPr>
        <w:spacing w:beforeLines="50" w:afterLines="50" w:line="240" w:lineRule="atLeast"/>
        <w:ind w:left="1134" w:hanging="425"/>
        <w:rPr>
          <w:rFonts w:eastAsia="楷体_GB2312"/>
          <w:kern w:val="0"/>
        </w:rPr>
      </w:pPr>
      <w:r>
        <w:rPr>
          <w:rFonts w:eastAsia="楷体_GB2312"/>
          <w:kern w:val="0"/>
        </w:rPr>
        <w:t>在“《信托合同》”第【15.1】款中，“回购”是“委托人”的一项选择权；</w:t>
      </w:r>
    </w:p>
    <w:p>
      <w:pPr>
        <w:pStyle w:val="13"/>
        <w:numPr>
          <w:ilvl w:val="0"/>
          <w:numId w:val="4"/>
        </w:numPr>
        <w:spacing w:beforeLines="50" w:afterLines="50" w:line="240" w:lineRule="atLeast"/>
        <w:ind w:left="1134" w:hanging="425"/>
        <w:rPr>
          <w:rFonts w:eastAsia="楷体_GB2312"/>
          <w:kern w:val="0"/>
        </w:rPr>
      </w:pPr>
      <w:r>
        <w:rPr>
          <w:rFonts w:eastAsia="楷体_GB2312"/>
          <w:kern w:val="0"/>
        </w:rPr>
        <w:t>在“《信托合同》”第【15.2】款中，“回购”是“委托人”的一项义务；</w:t>
      </w:r>
    </w:p>
    <w:p>
      <w:pPr>
        <w:pStyle w:val="13"/>
        <w:numPr>
          <w:ilvl w:val="0"/>
          <w:numId w:val="4"/>
        </w:numPr>
        <w:spacing w:beforeLines="50" w:afterLines="50" w:line="240" w:lineRule="atLeast"/>
        <w:ind w:left="1134" w:hanging="425"/>
        <w:rPr>
          <w:rFonts w:eastAsia="楷体_GB2312"/>
          <w:kern w:val="0"/>
        </w:rPr>
      </w:pPr>
      <w:r>
        <w:rPr>
          <w:rFonts w:eastAsia="楷体_GB2312"/>
          <w:kern w:val="0"/>
        </w:rPr>
        <w:t>在“《信托合同》”第【15.3】款中，“回购”是“委托人”的一项义务。】</w:t>
      </w:r>
    </w:p>
    <w:p>
      <w:pPr>
        <w:pStyle w:val="13"/>
        <w:spacing w:beforeLines="50" w:afterLines="50" w:line="240" w:lineRule="atLeast"/>
        <w:ind w:left="850" w:leftChars="405" w:firstLine="1"/>
        <w:rPr>
          <w:rFonts w:eastAsia="楷体_GB2312"/>
          <w:b/>
          <w:i/>
          <w:color w:val="FF0000"/>
          <w:kern w:val="0"/>
          <w:u w:val="single"/>
        </w:rPr>
      </w:pPr>
      <w:r>
        <w:rPr>
          <w:rFonts w:eastAsia="楷体_GB2312"/>
          <w:b/>
          <w:i/>
          <w:color w:val="FF0000"/>
          <w:kern w:val="0"/>
          <w:u w:val="single"/>
        </w:rPr>
        <w:t>1</w:t>
      </w:r>
      <w:r>
        <w:rPr>
          <w:rFonts w:hint="eastAsia" w:ascii="楷体_GB2312" w:eastAsia="楷体_GB2312" w:cs="楷体_GB2312"/>
          <w:b/>
          <w:i/>
          <w:color w:val="FF0000"/>
          <w:kern w:val="0"/>
          <w:u w:val="single"/>
        </w:rPr>
        <w:t>、是否设置回购机制、回购机制的具体安排</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根据实际情况调整</w:t>
      </w:r>
      <w:bookmarkStart w:id="11" w:name="_Toc173860436"/>
      <w:r>
        <w:rPr>
          <w:rFonts w:hint="eastAsia" w:ascii="楷体_GB2312" w:eastAsia="楷体_GB2312" w:cs="楷体_GB2312"/>
          <w:b/>
          <w:i/>
          <w:color w:val="FF0000"/>
          <w:kern w:val="0"/>
          <w:u w:val="single"/>
          <w:lang w:eastAsia="zh-CN"/>
        </w:rPr>
        <w:t>，</w:t>
      </w:r>
      <w:r>
        <w:rPr>
          <w:rFonts w:hint="eastAsia" w:ascii="楷体_GB2312" w:eastAsia="楷体_GB2312" w:cs="楷体_GB2312"/>
          <w:b/>
          <w:i/>
          <w:color w:val="FF0000"/>
          <w:kern w:val="0"/>
          <w:u w:val="single"/>
        </w:rPr>
        <w:t>如</w:t>
      </w:r>
      <w:bookmarkEnd w:id="11"/>
      <w:r>
        <w:rPr>
          <w:rFonts w:hint="eastAsia" w:ascii="楷体_GB2312" w:eastAsia="楷体_GB2312" w:cs="楷体_GB2312"/>
          <w:b/>
          <w:i/>
          <w:color w:val="FF0000"/>
          <w:kern w:val="0"/>
          <w:u w:val="single"/>
        </w:rPr>
        <w:t>不适用则</w:t>
      </w:r>
      <w:r>
        <w:rPr>
          <w:rFonts w:hint="eastAsia" w:ascii="楷体_GB2312" w:eastAsia="楷体_GB2312" w:cs="楷体_GB2312"/>
          <w:b/>
          <w:i/>
          <w:color w:val="FF0000"/>
          <w:kern w:val="0"/>
          <w:u w:val="single"/>
          <w:lang w:val="en-US" w:eastAsia="zh-CN"/>
        </w:rPr>
        <w:t>应修改、</w:t>
      </w:r>
      <w:r>
        <w:rPr>
          <w:rFonts w:hint="eastAsia" w:ascii="楷体_GB2312" w:eastAsia="楷体_GB2312" w:cs="楷体_GB2312"/>
          <w:b/>
          <w:i/>
          <w:color w:val="FF0000"/>
          <w:kern w:val="0"/>
          <w:u w:val="single"/>
        </w:rPr>
        <w:t>删除相关定义和条款，下同。</w:t>
      </w:r>
      <w:r>
        <w:rPr>
          <w:rFonts w:eastAsia="楷体_GB2312"/>
          <w:b/>
          <w:i/>
          <w:color w:val="FF0000"/>
          <w:kern w:val="0"/>
          <w:u w:val="single"/>
        </w:rPr>
        <w:t>2</w:t>
      </w:r>
      <w:r>
        <w:rPr>
          <w:rFonts w:hint="eastAsia" w:ascii="楷体_GB2312" w:eastAsia="楷体_GB2312" w:cs="楷体_GB2312"/>
          <w:b/>
          <w:i/>
          <w:color w:val="FF0000"/>
          <w:kern w:val="0"/>
          <w:u w:val="single"/>
        </w:rPr>
        <w:t>、权利归属</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r>
        <w:rPr>
          <w:rFonts w:hint="eastAsia" w:ascii="楷体_GB2312" w:eastAsia="楷体_GB2312" w:cs="楷体_GB2312"/>
          <w:b/>
          <w:i/>
          <w:color w:val="FF0000"/>
          <w:kern w:val="0"/>
          <w:u w:val="single"/>
        </w:rPr>
        <w:t>。</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赎回：</w:t>
      </w:r>
      <w:r>
        <w:rPr>
          <w:rFonts w:hint="eastAsia" w:ascii="楷体_GB2312" w:eastAsia="楷体_GB2312" w:cs="楷体_GB2312"/>
          <w:kern w:val="0"/>
          <w:sz w:val="24"/>
        </w:rPr>
        <w:t>系指在</w:t>
      </w:r>
      <w:r>
        <w:rPr>
          <w:rFonts w:eastAsia="楷体_GB2312"/>
          <w:kern w:val="0"/>
          <w:sz w:val="24"/>
        </w:rPr>
        <w:t>“</w:t>
      </w:r>
      <w:r>
        <w:rPr>
          <w:rFonts w:hint="eastAsia" w:ascii="楷体_GB2312" w:eastAsia="楷体_GB2312" w:cs="楷体_GB2312"/>
          <w:kern w:val="0"/>
          <w:sz w:val="24"/>
        </w:rPr>
        <w:t>信托期限</w:t>
      </w:r>
      <w:r>
        <w:rPr>
          <w:rFonts w:eastAsia="楷体_GB2312"/>
          <w:kern w:val="0"/>
          <w:sz w:val="24"/>
        </w:rPr>
        <w:t>”</w:t>
      </w:r>
      <w:r>
        <w:rPr>
          <w:rFonts w:hint="eastAsia" w:ascii="楷体_GB2312" w:eastAsia="楷体_GB2312" w:cs="楷体_GB2312"/>
          <w:kern w:val="0"/>
          <w:sz w:val="24"/>
        </w:rPr>
        <w:t>内，</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12</w:t>
      </w:r>
      <w:r>
        <w:rPr>
          <w:rFonts w:hint="eastAsia" w:ascii="楷体_GB2312" w:eastAsia="楷体_GB2312" w:cs="楷体_GB2312"/>
          <w:kern w:val="0"/>
          <w:sz w:val="24"/>
        </w:rPr>
        <w:t>】条的约定赎回</w:t>
      </w:r>
      <w:r>
        <w:rPr>
          <w:rFonts w:eastAsia="楷体_GB2312"/>
          <w:kern w:val="0"/>
          <w:sz w:val="24"/>
        </w:rPr>
        <w:t>“</w:t>
      </w:r>
      <w:r>
        <w:rPr>
          <w:rFonts w:hint="eastAsia" w:ascii="楷体_GB2312" w:eastAsia="楷体_GB2312" w:cs="楷体_GB2312"/>
          <w:kern w:val="0"/>
          <w:sz w:val="24"/>
        </w:rPr>
        <w:t>资产池</w:t>
      </w:r>
      <w:r>
        <w:rPr>
          <w:rFonts w:eastAsia="楷体_GB2312"/>
          <w:kern w:val="0"/>
          <w:sz w:val="24"/>
        </w:rPr>
        <w:t>”</w:t>
      </w:r>
      <w:r>
        <w:rPr>
          <w:rFonts w:hint="eastAsia" w:ascii="楷体_GB2312" w:eastAsia="楷体_GB2312" w:cs="楷体_GB2312"/>
          <w:kern w:val="0"/>
          <w:sz w:val="24"/>
        </w:rPr>
        <w:t>中</w:t>
      </w:r>
      <w:r>
        <w:rPr>
          <w:rFonts w:eastAsia="楷体_GB2312"/>
          <w:kern w:val="0"/>
          <w:sz w:val="24"/>
        </w:rPr>
        <w:t>“</w:t>
      </w:r>
      <w:r>
        <w:rPr>
          <w:rFonts w:hint="eastAsia" w:ascii="楷体_GB2312" w:eastAsia="楷体_GB2312" w:cs="楷体_GB2312"/>
          <w:kern w:val="0"/>
          <w:sz w:val="24"/>
        </w:rPr>
        <w:t>不合格资产</w:t>
      </w:r>
      <w:r>
        <w:rPr>
          <w:rFonts w:eastAsia="楷体_GB2312"/>
          <w:kern w:val="0"/>
          <w:sz w:val="24"/>
        </w:rPr>
        <w:t>”</w:t>
      </w:r>
      <w:r>
        <w:rPr>
          <w:rFonts w:hint="eastAsia" w:ascii="楷体_GB2312" w:eastAsia="楷体_GB2312" w:cs="楷体_GB2312"/>
          <w:kern w:val="0"/>
          <w:sz w:val="24"/>
        </w:rPr>
        <w:t>的行为。</w:t>
      </w:r>
    </w:p>
    <w:p>
      <w:pPr>
        <w:pStyle w:val="13"/>
        <w:numPr>
          <w:ilvl w:val="0"/>
          <w:numId w:val="0"/>
        </w:numPr>
        <w:adjustRightInd w:val="0"/>
        <w:spacing w:beforeLines="50" w:afterLines="50" w:line="240" w:lineRule="atLeast"/>
        <w:ind w:leftChars="405"/>
        <w:textAlignment w:val="baseline"/>
        <w:rPr>
          <w:rFonts w:eastAsia="楷体_GB2312"/>
          <w:b/>
          <w:bCs/>
          <w:sz w:val="24"/>
          <w:u w:val="single"/>
        </w:rPr>
      </w:pPr>
      <w:r>
        <w:rPr>
          <w:rFonts w:hint="eastAsia" w:ascii="楷体_GB2312" w:eastAsia="楷体_GB2312" w:cs="楷体_GB2312"/>
          <w:b/>
          <w:i/>
          <w:color w:val="FF0000"/>
          <w:kern w:val="0"/>
          <w:u w:val="single"/>
          <w:lang w:val="en-US" w:eastAsia="zh-CN"/>
        </w:rPr>
        <w:t>赎回</w:t>
      </w:r>
      <w:r>
        <w:rPr>
          <w:rFonts w:hint="eastAsia" w:ascii="楷体_GB2312" w:eastAsia="楷体_GB2312" w:cs="楷体_GB2312"/>
          <w:b/>
          <w:i/>
          <w:color w:val="FF0000"/>
          <w:kern w:val="0"/>
          <w:u w:val="single"/>
        </w:rPr>
        <w:t>相关定义和条款</w:t>
      </w:r>
      <w:r>
        <w:rPr>
          <w:rFonts w:hint="eastAsia" w:ascii="楷体_GB2312" w:eastAsia="楷体_GB2312" w:cs="楷体_GB2312"/>
          <w:b/>
          <w:i/>
          <w:color w:val="FF0000"/>
          <w:kern w:val="0"/>
          <w:u w:val="single"/>
          <w:lang w:val="en-US" w:eastAsia="zh-CN"/>
        </w:rPr>
        <w:t>应根据实际情况修改</w:t>
      </w:r>
      <w:r>
        <w:rPr>
          <w:rFonts w:hint="eastAsia" w:ascii="楷体_GB2312" w:eastAsia="楷体_GB2312" w:cs="楷体_GB2312"/>
          <w:b/>
          <w:i/>
          <w:color w:val="FF0000"/>
          <w:kern w:val="0"/>
          <w:u w:val="single"/>
        </w:rPr>
        <w:t>，下同。</w:t>
      </w:r>
    </w:p>
    <w:p>
      <w:pPr>
        <w:pStyle w:val="13"/>
        <w:spacing w:beforeLines="50" w:afterLines="50" w:line="240" w:lineRule="atLeast"/>
        <w:outlineLvl w:val="2"/>
        <w:rPr>
          <w:rFonts w:eastAsia="楷体_GB2312"/>
          <w:b/>
        </w:rPr>
      </w:pPr>
      <w:r>
        <w:rPr>
          <w:rFonts w:eastAsia="楷体_GB2312"/>
          <w:b/>
        </w:rPr>
        <w:t>2</w:t>
      </w:r>
      <w:r>
        <w:rPr>
          <w:rFonts w:hint="eastAsia" w:ascii="楷体_GB2312" w:eastAsia="楷体_GB2312" w:cs="楷体_GB2312"/>
          <w:b/>
        </w:rPr>
        <w:t>、信托与信托财产</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w:t>
      </w:r>
      <w:r>
        <w:rPr>
          <w:rFonts w:eastAsia="楷体_GB2312"/>
          <w:b/>
          <w:bCs/>
          <w:sz w:val="24"/>
        </w:rPr>
        <w:t>/</w:t>
      </w:r>
      <w:r>
        <w:rPr>
          <w:rFonts w:hint="eastAsia" w:ascii="楷体_GB2312" w:eastAsia="楷体_GB2312" w:cs="楷体_GB2312"/>
          <w:b/>
          <w:bCs/>
          <w:sz w:val="24"/>
        </w:rPr>
        <w:t>发行载体：</w:t>
      </w:r>
      <w:r>
        <w:rPr>
          <w:rFonts w:hint="eastAsia" w:ascii="楷体_GB2312" w:eastAsia="楷体_GB2312" w:cs="楷体_GB2312"/>
          <w:bCs/>
          <w:sz w:val="24"/>
        </w:rPr>
        <w:t>系指根据</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，由</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双方设立的【信托名称】。</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信托财产：</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因承诺信托而在</w:t>
      </w:r>
      <w:r>
        <w:rPr>
          <w:rFonts w:eastAsia="楷体_GB2312"/>
          <w:bCs/>
          <w:sz w:val="24"/>
        </w:rPr>
        <w:t>“</w:t>
      </w:r>
      <w:r>
        <w:rPr>
          <w:rFonts w:hint="eastAsia" w:ascii="楷体_GB2312" w:eastAsia="楷体_GB2312" w:cs="楷体_GB2312"/>
          <w:bCs/>
          <w:sz w:val="24"/>
        </w:rPr>
        <w:t>信托财产交付日</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追加信托财产交付日</w:t>
      </w:r>
      <w:r>
        <w:rPr>
          <w:rFonts w:eastAsia="楷体_GB2312"/>
          <w:bCs/>
          <w:sz w:val="24"/>
        </w:rPr>
        <w:t>”</w:t>
      </w:r>
      <w:r>
        <w:rPr>
          <w:rFonts w:hint="eastAsia" w:ascii="楷体_GB2312" w:eastAsia="楷体_GB2312" w:cs="楷体_GB2312"/>
          <w:bCs/>
          <w:sz w:val="24"/>
        </w:rPr>
        <w:t>从</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 xml:space="preserve">处取得的财产、在 </w:t>
      </w:r>
      <w:r>
        <w:rPr>
          <w:rFonts w:eastAsia="楷体_GB2312"/>
          <w:bCs/>
          <w:sz w:val="24"/>
        </w:rPr>
        <w:t>“</w:t>
      </w:r>
      <w:r>
        <w:rPr>
          <w:rFonts w:hint="eastAsia" w:ascii="楷体_GB2312" w:eastAsia="楷体_GB2312" w:cs="楷体_GB2312"/>
          <w:bCs/>
          <w:sz w:val="24"/>
        </w:rPr>
        <w:t>循环购买日</w:t>
      </w:r>
      <w:r>
        <w:rPr>
          <w:rFonts w:eastAsia="楷体_GB2312"/>
          <w:bCs/>
          <w:sz w:val="24"/>
        </w:rPr>
        <w:t>”“</w:t>
      </w:r>
      <w:r>
        <w:rPr>
          <w:rFonts w:hint="eastAsia" w:ascii="楷体_GB2312" w:eastAsia="楷体_GB2312" w:cs="楷体_GB2312"/>
          <w:bCs/>
          <w:sz w:val="24"/>
        </w:rPr>
        <w:t>循环购买</w:t>
      </w:r>
      <w:r>
        <w:rPr>
          <w:rFonts w:eastAsia="楷体_GB2312"/>
          <w:bCs/>
          <w:sz w:val="24"/>
        </w:rPr>
        <w:t>”</w:t>
      </w:r>
      <w:r>
        <w:rPr>
          <w:rFonts w:hint="eastAsia" w:ascii="楷体_GB2312" w:eastAsia="楷体_GB2312" w:cs="楷体_GB2312"/>
          <w:bCs/>
          <w:sz w:val="24"/>
        </w:rPr>
        <w:t>所得的基础资产以及在信托期限内“受托人</w:t>
      </w:r>
      <w:r>
        <w:rPr>
          <w:rFonts w:eastAsia="楷体_GB2312"/>
          <w:bCs/>
          <w:sz w:val="24"/>
        </w:rPr>
        <w:t>”</w:t>
      </w:r>
      <w:r>
        <w:rPr>
          <w:rFonts w:hint="eastAsia" w:ascii="楷体_GB2312" w:eastAsia="楷体_GB2312" w:cs="楷体_GB2312"/>
          <w:bCs/>
          <w:sz w:val="24"/>
        </w:rPr>
        <w:t>因对信托财产管理、运用、处分或者其他情形而取得的财产的总和。</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信托资金：</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中表现为货币形式的部分。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保管资金：</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信托账户</w:t>
      </w:r>
      <w:r>
        <w:rPr>
          <w:rFonts w:eastAsia="楷体_GB2312"/>
          <w:bCs/>
          <w:sz w:val="24"/>
        </w:rPr>
        <w:t>”</w:t>
      </w:r>
      <w:r>
        <w:rPr>
          <w:rFonts w:hint="eastAsia" w:ascii="楷体_GB2312" w:eastAsia="楷体_GB2312" w:cs="楷体_GB2312"/>
          <w:bCs/>
          <w:sz w:val="24"/>
        </w:rPr>
        <w:t>中的资金。</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回收款：</w:t>
      </w: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资产池</w:t>
      </w:r>
      <w:r>
        <w:rPr>
          <w:rFonts w:eastAsia="楷体_GB2312"/>
          <w:kern w:val="0"/>
          <w:sz w:val="24"/>
        </w:rPr>
        <w:t>”</w:t>
      </w:r>
      <w:r>
        <w:rPr>
          <w:rFonts w:hint="eastAsia" w:ascii="楷体_GB2312" w:eastAsia="楷体_GB2312" w:cs="楷体_GB2312"/>
          <w:kern w:val="0"/>
          <w:sz w:val="24"/>
        </w:rPr>
        <w:t>中的</w:t>
      </w:r>
      <w:r>
        <w:rPr>
          <w:rFonts w:eastAsia="楷体_GB2312"/>
          <w:kern w:val="0"/>
          <w:sz w:val="24"/>
        </w:rPr>
        <w:t>“</w:t>
      </w:r>
      <w:r>
        <w:rPr>
          <w:rFonts w:hint="eastAsia" w:ascii="楷体_GB2312" w:eastAsia="楷体_GB2312" w:cs="楷体_GB2312"/>
          <w:kern w:val="0"/>
          <w:sz w:val="24"/>
        </w:rPr>
        <w:t>基础资产</w:t>
      </w:r>
      <w:r>
        <w:rPr>
          <w:rFonts w:eastAsia="楷体_GB2312"/>
          <w:kern w:val="0"/>
          <w:sz w:val="24"/>
        </w:rPr>
        <w:t>”</w:t>
      </w:r>
      <w:r>
        <w:rPr>
          <w:rFonts w:hint="eastAsia" w:ascii="楷体_GB2312" w:eastAsia="楷体_GB2312" w:cs="楷体_GB2312"/>
          <w:kern w:val="0"/>
          <w:sz w:val="24"/>
        </w:rPr>
        <w:t>而言，系指：</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清偿债务所支付的款项；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对其债务行使抵销权后，</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就被</w:t>
      </w:r>
      <w:r>
        <w:rPr>
          <w:rFonts w:eastAsia="楷体_GB2312"/>
          <w:kern w:val="0"/>
          <w:sz w:val="24"/>
        </w:rPr>
        <w:t>“</w:t>
      </w:r>
      <w:r>
        <w:rPr>
          <w:rFonts w:hint="eastAsia" w:ascii="楷体_GB2312" w:eastAsia="楷体_GB2312" w:cs="楷体_GB2312"/>
          <w:kern w:val="0"/>
          <w:sz w:val="24"/>
        </w:rPr>
        <w:t>抵销</w:t>
      </w:r>
      <w:r>
        <w:rPr>
          <w:rFonts w:eastAsia="楷体_GB2312"/>
          <w:kern w:val="0"/>
          <w:sz w:val="24"/>
        </w:rPr>
        <w:t>”</w:t>
      </w:r>
      <w:r>
        <w:rPr>
          <w:rFonts w:hint="eastAsia" w:ascii="楷体_GB2312" w:eastAsia="楷体_GB2312" w:cs="楷体_GB2312"/>
          <w:kern w:val="0"/>
          <w:sz w:val="24"/>
        </w:rPr>
        <w:t>的债务金额所支付的相应款项；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违约资产回收资金中减去回收该笔违约资产所发生的执行费用后的所有金额；</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因实现附属担保权益（如有）所产生的收入；</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的约定所支付的相当于</w:t>
      </w:r>
      <w:r>
        <w:rPr>
          <w:rFonts w:eastAsia="楷体_GB2312"/>
          <w:kern w:val="0"/>
          <w:sz w:val="24"/>
        </w:rPr>
        <w:t>“</w:t>
      </w:r>
      <w:r>
        <w:rPr>
          <w:rFonts w:hint="eastAsia" w:ascii="楷体_GB2312" w:eastAsia="楷体_GB2312" w:cs="楷体_GB2312"/>
          <w:kern w:val="0"/>
          <w:sz w:val="24"/>
        </w:rPr>
        <w:t>赎回价格</w:t>
      </w:r>
      <w:r>
        <w:rPr>
          <w:rFonts w:eastAsia="楷体_GB2312"/>
          <w:kern w:val="0"/>
          <w:sz w:val="24"/>
        </w:rPr>
        <w:t>”</w:t>
      </w:r>
      <w:r>
        <w:rPr>
          <w:rFonts w:hint="eastAsia" w:ascii="楷体_GB2312" w:eastAsia="楷体_GB2312" w:cs="楷体_GB2312"/>
          <w:kern w:val="0"/>
          <w:sz w:val="24"/>
        </w:rPr>
        <w:t>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的约定所支付的相当于</w:t>
      </w:r>
      <w:r>
        <w:rPr>
          <w:rFonts w:eastAsia="楷体_GB2312"/>
          <w:kern w:val="0"/>
          <w:sz w:val="24"/>
        </w:rPr>
        <w:t>“</w:t>
      </w:r>
      <w:r>
        <w:rPr>
          <w:rFonts w:hint="eastAsia" w:ascii="楷体_GB2312" w:eastAsia="楷体_GB2312" w:cs="楷体_GB2312"/>
          <w:kern w:val="0"/>
          <w:sz w:val="24"/>
        </w:rPr>
        <w:t>回购价格</w:t>
      </w:r>
      <w:r>
        <w:rPr>
          <w:rFonts w:eastAsia="楷体_GB2312"/>
          <w:kern w:val="0"/>
          <w:sz w:val="24"/>
        </w:rPr>
        <w:t>”</w:t>
      </w:r>
      <w:r>
        <w:rPr>
          <w:rFonts w:hint="eastAsia" w:ascii="楷体_GB2312" w:eastAsia="楷体_GB2312" w:cs="楷体_GB2312"/>
          <w:kern w:val="0"/>
          <w:sz w:val="24"/>
        </w:rPr>
        <w:t>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的授权委托第三方对非现金</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进行处置而取得的款项；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的约定清算</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而取得的款项；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中的资金取得的所有利息及投资收益，包括但不限于</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中的资金进行</w:t>
      </w:r>
      <w:r>
        <w:rPr>
          <w:rFonts w:eastAsia="楷体_GB2312"/>
          <w:kern w:val="0"/>
          <w:sz w:val="24"/>
        </w:rPr>
        <w:t>“</w:t>
      </w:r>
      <w:r>
        <w:rPr>
          <w:rFonts w:hint="eastAsia" w:ascii="楷体_GB2312" w:eastAsia="楷体_GB2312" w:cs="楷体_GB2312"/>
          <w:kern w:val="0"/>
          <w:sz w:val="24"/>
        </w:rPr>
        <w:t>合格投资</w:t>
      </w:r>
      <w:r>
        <w:rPr>
          <w:rFonts w:eastAsia="楷体_GB2312"/>
          <w:kern w:val="0"/>
          <w:sz w:val="24"/>
        </w:rPr>
        <w:t>”</w:t>
      </w:r>
      <w:r>
        <w:rPr>
          <w:rFonts w:hint="eastAsia" w:ascii="楷体_GB2312" w:eastAsia="楷体_GB2312" w:cs="楷体_GB2312"/>
          <w:kern w:val="0"/>
          <w:sz w:val="24"/>
        </w:rPr>
        <w:t>所取得的收益；</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【差额支付承诺人】</w:t>
      </w:r>
      <w:r>
        <w:rPr>
          <w:rFonts w:eastAsia="楷体_GB2312"/>
          <w:kern w:val="0"/>
          <w:sz w:val="24"/>
        </w:rPr>
        <w:t>”</w:t>
      </w:r>
      <w:r>
        <w:rPr>
          <w:rFonts w:hint="eastAsia" w:ascii="楷体_GB2312" w:eastAsia="楷体_GB2312" w:cs="楷体_GB2312"/>
          <w:kern w:val="0"/>
          <w:sz w:val="24"/>
        </w:rPr>
        <w:t>因</w:t>
      </w:r>
      <w:r>
        <w:rPr>
          <w:rFonts w:eastAsia="楷体_GB2312"/>
          <w:kern w:val="0"/>
          <w:sz w:val="24"/>
        </w:rPr>
        <w:t>“</w:t>
      </w:r>
      <w:r>
        <w:rPr>
          <w:rFonts w:hint="eastAsia" w:ascii="楷体_GB2312" w:eastAsia="楷体_GB2312" w:cs="楷体_GB2312"/>
          <w:kern w:val="0"/>
          <w:sz w:val="24"/>
        </w:rPr>
        <w:t>【回收款差额支付】启动事件</w:t>
      </w:r>
      <w:r>
        <w:rPr>
          <w:rFonts w:eastAsia="楷体_GB2312"/>
          <w:kern w:val="0"/>
          <w:sz w:val="24"/>
        </w:rPr>
        <w:t>”</w:t>
      </w:r>
      <w:r>
        <w:rPr>
          <w:rFonts w:hint="eastAsia" w:ascii="楷体_GB2312" w:eastAsia="楷体_GB2312" w:cs="楷体_GB2312"/>
          <w:kern w:val="0"/>
          <w:sz w:val="24"/>
        </w:rPr>
        <w:t>履行相关付款义务而支付的款项；</w:t>
      </w:r>
    </w:p>
    <w:p>
      <w:pPr>
        <w:numPr>
          <w:ilvl w:val="1"/>
          <w:numId w:val="5"/>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中国</w:t>
      </w:r>
      <w:r>
        <w:rPr>
          <w:rFonts w:eastAsia="楷体_GB2312"/>
          <w:kern w:val="0"/>
          <w:sz w:val="24"/>
        </w:rPr>
        <w:t>”“</w:t>
      </w:r>
      <w:r>
        <w:rPr>
          <w:rFonts w:hint="eastAsia" w:ascii="楷体_GB2312" w:eastAsia="楷体_GB2312" w:cs="楷体_GB2312"/>
          <w:kern w:val="0"/>
          <w:sz w:val="24"/>
        </w:rPr>
        <w:t>法律</w:t>
      </w:r>
      <w:r>
        <w:rPr>
          <w:rFonts w:eastAsia="楷体_GB2312"/>
          <w:kern w:val="0"/>
          <w:sz w:val="24"/>
        </w:rPr>
        <w:t>”</w:t>
      </w:r>
      <w:r>
        <w:rPr>
          <w:rFonts w:hint="eastAsia" w:ascii="楷体_GB2312" w:eastAsia="楷体_GB2312" w:cs="楷体_GB2312"/>
          <w:kern w:val="0"/>
          <w:sz w:val="24"/>
        </w:rPr>
        <w:t>的规定或</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的约定取得的其他款项。</w:t>
      </w:r>
    </w:p>
    <w:p>
      <w:pPr>
        <w:pStyle w:val="13"/>
        <w:spacing w:beforeLines="50" w:afterLines="50" w:line="240" w:lineRule="atLeast"/>
        <w:ind w:left="850" w:leftChars="405" w:firstLine="1"/>
        <w:rPr>
          <w:rFonts w:eastAsia="楷体_GB2312"/>
          <w:b/>
          <w:i/>
          <w:color w:val="FF0000"/>
          <w:kern w:val="0"/>
          <w:u w:val="single"/>
        </w:rPr>
      </w:pPr>
      <w:r>
        <w:rPr>
          <w:rFonts w:hint="eastAsia" w:ascii="楷体_GB2312" w:eastAsia="楷体_GB2312" w:cs="楷体_GB2312"/>
          <w:b/>
          <w:i/>
          <w:color w:val="FF0000"/>
          <w:kern w:val="0"/>
          <w:u w:val="single"/>
        </w:rPr>
        <w:t>回收款的内容</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r>
        <w:rPr>
          <w:rFonts w:hint="eastAsia" w:ascii="楷体_GB2312" w:eastAsia="楷体_GB2312" w:cs="楷体_GB2312"/>
          <w:b/>
          <w:i/>
          <w:color w:val="FF0000"/>
          <w:kern w:val="0"/>
          <w:u w:val="single"/>
        </w:rPr>
        <w:t>。</w:t>
      </w:r>
    </w:p>
    <w:p>
      <w:pPr>
        <w:numPr>
          <w:ilvl w:val="1"/>
          <w:numId w:val="2"/>
        </w:numPr>
        <w:adjustRightInd w:val="0"/>
        <w:spacing w:beforeLines="50" w:afterLines="50" w:line="240" w:lineRule="atLeast"/>
        <w:ind w:left="851" w:hanging="851"/>
        <w:textAlignment w:val="baseline"/>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t>追加交付价格：</w:t>
      </w:r>
      <w:r>
        <w:rPr>
          <w:rFonts w:hint="default" w:ascii="Times New Roman" w:hAnsi="Times New Roman" w:eastAsia="楷体_GB2312" w:cs="Times New Roman"/>
          <w:kern w:val="0"/>
          <w:sz w:val="24"/>
        </w:rPr>
        <w:t>系指在“信托期限”内，“委托人”向“受托人”“追加交付”“追加交付资产”所收到的对价价格，即在“后续起算日”</w:t>
      </w:r>
      <w:r>
        <w:rPr>
          <w:rFonts w:hint="default" w:ascii="Times New Roman" w:hAnsi="Times New Roman" w:eastAsia="楷体_GB2312" w:cs="Times New Roman"/>
          <w:bCs/>
          <w:sz w:val="24"/>
        </w:rPr>
        <w:t>【】点，该笔资产的“未偿金额”乘以“综合折价率”。虽有上述约定，“委托人”因“追加交付”可获得的对价不高于对应“滚动发行”的“资产支持商业票据募集资金”减去“信托受益权转让对价”后的金额。</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循环购买价格：</w:t>
      </w:r>
      <w:r>
        <w:rPr>
          <w:rFonts w:hint="eastAsia" w:ascii="楷体_GB2312" w:eastAsia="楷体_GB2312" w:cs="楷体_GB2312"/>
          <w:kern w:val="0"/>
          <w:sz w:val="24"/>
        </w:rPr>
        <w:t>系指在</w:t>
      </w:r>
      <w:r>
        <w:rPr>
          <w:rFonts w:eastAsia="楷体_GB2312"/>
          <w:kern w:val="0"/>
          <w:sz w:val="24"/>
        </w:rPr>
        <w:t>“</w:t>
      </w:r>
      <w:r>
        <w:rPr>
          <w:rFonts w:hint="eastAsia" w:ascii="楷体_GB2312" w:eastAsia="楷体_GB2312" w:cs="楷体_GB2312"/>
          <w:kern w:val="0"/>
          <w:sz w:val="24"/>
        </w:rPr>
        <w:t>循环期</w:t>
      </w:r>
      <w:r>
        <w:rPr>
          <w:rFonts w:eastAsia="楷体_GB2312"/>
          <w:kern w:val="0"/>
          <w:sz w:val="24"/>
        </w:rPr>
        <w:t>”</w:t>
      </w:r>
      <w:r>
        <w:rPr>
          <w:rFonts w:hint="eastAsia" w:ascii="楷体_GB2312" w:eastAsia="楷体_GB2312" w:cs="楷体_GB2312"/>
          <w:kern w:val="0"/>
          <w:sz w:val="24"/>
        </w:rPr>
        <w:t>内，</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向</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循环购买</w:t>
      </w:r>
      <w:r>
        <w:rPr>
          <w:rFonts w:eastAsia="楷体_GB2312"/>
          <w:kern w:val="0"/>
          <w:sz w:val="24"/>
        </w:rPr>
        <w:t>”“</w:t>
      </w:r>
      <w:r>
        <w:rPr>
          <w:rFonts w:hint="eastAsia" w:ascii="楷体_GB2312" w:eastAsia="楷体_GB2312" w:cs="楷体_GB2312"/>
          <w:kern w:val="0"/>
          <w:sz w:val="24"/>
        </w:rPr>
        <w:t>循环购买资产</w:t>
      </w:r>
      <w:r>
        <w:rPr>
          <w:rFonts w:eastAsia="楷体_GB2312"/>
          <w:kern w:val="0"/>
          <w:sz w:val="24"/>
        </w:rPr>
        <w:t>”</w:t>
      </w:r>
      <w:r>
        <w:rPr>
          <w:rFonts w:hint="eastAsia" w:ascii="楷体_GB2312" w:eastAsia="楷体_GB2312" w:cs="楷体_GB2312"/>
          <w:kern w:val="0"/>
          <w:sz w:val="24"/>
        </w:rPr>
        <w:t>支付的价格，即在</w:t>
      </w:r>
      <w:r>
        <w:rPr>
          <w:rFonts w:eastAsia="楷体_GB2312"/>
          <w:kern w:val="0"/>
          <w:sz w:val="24"/>
        </w:rPr>
        <w:t>“</w:t>
      </w:r>
      <w:r>
        <w:rPr>
          <w:rFonts w:hint="eastAsia" w:ascii="楷体_GB2312" w:eastAsia="楷体_GB2312" w:cs="楷体_GB2312"/>
          <w:kern w:val="0"/>
          <w:sz w:val="24"/>
        </w:rPr>
        <w:t>循环购买起算日</w:t>
      </w:r>
      <w:r>
        <w:rPr>
          <w:rFonts w:eastAsia="楷体_GB2312"/>
          <w:kern w:val="0"/>
          <w:sz w:val="24"/>
        </w:rPr>
        <w:t>”</w:t>
      </w:r>
      <w:r>
        <w:rPr>
          <w:rFonts w:hint="eastAsia" w:ascii="楷体_GB2312" w:eastAsia="楷体_GB2312" w:cs="楷体_GB2312"/>
          <w:bCs/>
          <w:sz w:val="24"/>
        </w:rPr>
        <w:t>【】点，该笔</w:t>
      </w:r>
      <w:r>
        <w:rPr>
          <w:rFonts w:eastAsia="楷体_GB2312"/>
          <w:bCs/>
          <w:sz w:val="24"/>
        </w:rPr>
        <w:t>“</w:t>
      </w:r>
      <w:r>
        <w:rPr>
          <w:rFonts w:hint="eastAsia" w:ascii="楷体_GB2312" w:eastAsia="楷体_GB2312" w:cs="楷体_GB2312"/>
          <w:bCs/>
          <w:sz w:val="24"/>
        </w:rPr>
        <w:t>资产</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未偿金额</w:t>
      </w:r>
      <w:r>
        <w:rPr>
          <w:rFonts w:eastAsia="楷体_GB2312"/>
          <w:bCs/>
          <w:sz w:val="24"/>
        </w:rPr>
        <w:t>”</w:t>
      </w:r>
      <w:r>
        <w:rPr>
          <w:rFonts w:hint="eastAsia" w:ascii="楷体_GB2312" w:eastAsia="楷体_GB2312" w:cs="楷体_GB2312"/>
          <w:bCs/>
          <w:sz w:val="24"/>
        </w:rPr>
        <w:t>乘以</w:t>
      </w:r>
      <w:r>
        <w:rPr>
          <w:rFonts w:eastAsia="楷体_GB2312"/>
          <w:bCs/>
          <w:sz w:val="24"/>
        </w:rPr>
        <w:t>“</w:t>
      </w:r>
      <w:r>
        <w:rPr>
          <w:rFonts w:hint="eastAsia" w:ascii="楷体_GB2312" w:eastAsia="楷体_GB2312" w:cs="楷体_GB2312"/>
          <w:bCs/>
          <w:sz w:val="24"/>
        </w:rPr>
        <w:t>综合折价率</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赎回价格：</w:t>
      </w:r>
      <w:r>
        <w:rPr>
          <w:rFonts w:hint="eastAsia" w:ascii="楷体_GB2312" w:eastAsia="楷体_GB2312" w:cs="楷体_GB2312"/>
          <w:bCs/>
          <w:sz w:val="24"/>
        </w:rPr>
        <w:t>就每笔</w:t>
      </w:r>
      <w:r>
        <w:rPr>
          <w:rFonts w:eastAsia="楷体_GB2312"/>
          <w:bCs/>
          <w:sz w:val="24"/>
        </w:rPr>
        <w:t>“</w:t>
      </w:r>
      <w:r>
        <w:rPr>
          <w:rFonts w:hint="eastAsia" w:ascii="楷体_GB2312" w:eastAsia="楷体_GB2312" w:cs="楷体_GB2312"/>
          <w:bCs/>
          <w:sz w:val="24"/>
        </w:rPr>
        <w:t>不合格资产</w:t>
      </w:r>
      <w:r>
        <w:rPr>
          <w:rFonts w:eastAsia="楷体_GB2312"/>
          <w:bCs/>
          <w:sz w:val="24"/>
        </w:rPr>
        <w:t>”</w:t>
      </w:r>
      <w:r>
        <w:rPr>
          <w:rFonts w:hint="eastAsia" w:ascii="楷体_GB2312" w:eastAsia="楷体_GB2312" w:cs="楷体_GB2312"/>
          <w:bCs/>
          <w:sz w:val="24"/>
        </w:rPr>
        <w:t>而言，系指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根据</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第【</w:t>
      </w:r>
      <w:r>
        <w:rPr>
          <w:rFonts w:eastAsia="楷体_GB2312"/>
          <w:bCs/>
          <w:sz w:val="24"/>
        </w:rPr>
        <w:t>12</w:t>
      </w:r>
      <w:r>
        <w:rPr>
          <w:rFonts w:hint="eastAsia" w:ascii="楷体_GB2312" w:eastAsia="楷体_GB2312" w:cs="楷体_GB2312"/>
          <w:bCs/>
          <w:sz w:val="24"/>
        </w:rPr>
        <w:t>】条的约定赎回</w:t>
      </w:r>
      <w:r>
        <w:rPr>
          <w:rFonts w:eastAsia="楷体_GB2312"/>
          <w:bCs/>
          <w:sz w:val="24"/>
        </w:rPr>
        <w:t>“</w:t>
      </w:r>
      <w:r>
        <w:rPr>
          <w:rFonts w:hint="eastAsia" w:ascii="楷体_GB2312" w:eastAsia="楷体_GB2312" w:cs="楷体_GB2312"/>
          <w:bCs/>
          <w:sz w:val="24"/>
        </w:rPr>
        <w:t>不合格资产</w:t>
      </w:r>
      <w:r>
        <w:rPr>
          <w:rFonts w:eastAsia="楷体_GB2312"/>
          <w:bCs/>
          <w:sz w:val="24"/>
        </w:rPr>
        <w:t>”</w:t>
      </w:r>
      <w:r>
        <w:rPr>
          <w:rFonts w:hint="eastAsia" w:ascii="楷体_GB2312" w:eastAsia="楷体_GB2312" w:cs="楷体_GB2312"/>
          <w:bCs/>
          <w:sz w:val="24"/>
        </w:rPr>
        <w:t>的价格，即【在</w:t>
      </w:r>
      <w:r>
        <w:rPr>
          <w:rFonts w:eastAsia="楷体_GB2312"/>
          <w:bCs/>
          <w:sz w:val="24"/>
        </w:rPr>
        <w:t>“</w:t>
      </w:r>
      <w:r>
        <w:rPr>
          <w:rFonts w:hint="eastAsia" w:ascii="楷体_GB2312" w:eastAsia="楷体_GB2312" w:cs="楷体_GB2312"/>
          <w:bCs/>
          <w:sz w:val="24"/>
        </w:rPr>
        <w:t>赎回起算日</w:t>
      </w:r>
      <w:r>
        <w:rPr>
          <w:rFonts w:eastAsia="楷体_GB2312"/>
          <w:bCs/>
          <w:sz w:val="24"/>
        </w:rPr>
        <w:t>”</w:t>
      </w:r>
      <w:r>
        <w:rPr>
          <w:rFonts w:hint="eastAsia" w:ascii="楷体_GB2312" w:eastAsia="楷体_GB2312" w:cs="楷体_GB2312"/>
          <w:bCs/>
          <w:sz w:val="24"/>
        </w:rPr>
        <w:t>【】点，该笔</w:t>
      </w:r>
      <w:r>
        <w:rPr>
          <w:rFonts w:eastAsia="楷体_GB2312"/>
          <w:bCs/>
          <w:sz w:val="24"/>
        </w:rPr>
        <w:t>“</w:t>
      </w:r>
      <w:r>
        <w:rPr>
          <w:rFonts w:hint="eastAsia" w:ascii="楷体_GB2312" w:eastAsia="楷体_GB2312" w:cs="楷体_GB2312"/>
          <w:bCs/>
          <w:sz w:val="24"/>
        </w:rPr>
        <w:t>不合格资产</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未偿金额</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kern w:val="0"/>
          <w:sz w:val="24"/>
        </w:rPr>
      </w:pPr>
      <w:r>
        <w:rPr>
          <w:rFonts w:hint="eastAsia" w:ascii="楷体_GB2312" w:eastAsia="楷体_GB2312" w:cs="楷体_GB2312"/>
          <w:b/>
          <w:bCs/>
          <w:sz w:val="24"/>
        </w:rPr>
        <w:t>回购价格：</w:t>
      </w:r>
      <w:r>
        <w:rPr>
          <w:rFonts w:hint="eastAsia" w:ascii="楷体_GB2312" w:eastAsia="楷体_GB2312" w:cs="楷体_GB2312"/>
          <w:bCs/>
          <w:sz w:val="24"/>
        </w:rPr>
        <w:t>就每笔</w:t>
      </w:r>
      <w:r>
        <w:rPr>
          <w:rFonts w:eastAsia="楷体_GB2312"/>
          <w:bCs/>
          <w:sz w:val="24"/>
        </w:rPr>
        <w:t>“</w:t>
      </w:r>
      <w:r>
        <w:rPr>
          <w:rFonts w:hint="eastAsia" w:ascii="楷体_GB2312" w:eastAsia="楷体_GB2312" w:cs="楷体_GB2312"/>
          <w:bCs/>
          <w:sz w:val="24"/>
        </w:rPr>
        <w:t>回购</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资产</w:t>
      </w:r>
      <w:r>
        <w:rPr>
          <w:rFonts w:eastAsia="楷体_GB2312"/>
          <w:bCs/>
          <w:sz w:val="24"/>
        </w:rPr>
        <w:t>”</w:t>
      </w:r>
      <w:r>
        <w:rPr>
          <w:rFonts w:hint="eastAsia" w:ascii="楷体_GB2312" w:eastAsia="楷体_GB2312" w:cs="楷体_GB2312"/>
          <w:bCs/>
          <w:sz w:val="24"/>
        </w:rPr>
        <w:t>而言，系指</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15</w:t>
      </w:r>
      <w:r>
        <w:rPr>
          <w:rFonts w:hint="eastAsia" w:ascii="楷体_GB2312" w:eastAsia="楷体_GB2312" w:cs="楷体_GB2312"/>
          <w:kern w:val="0"/>
          <w:sz w:val="24"/>
        </w:rPr>
        <w:t>】条的约定进行</w:t>
      </w:r>
      <w:r>
        <w:rPr>
          <w:rFonts w:eastAsia="楷体_GB2312"/>
          <w:kern w:val="0"/>
          <w:sz w:val="24"/>
        </w:rPr>
        <w:t>“</w:t>
      </w:r>
      <w:r>
        <w:rPr>
          <w:rFonts w:hint="eastAsia" w:ascii="楷体_GB2312" w:eastAsia="楷体_GB2312" w:cs="楷体_GB2312"/>
          <w:kern w:val="0"/>
          <w:sz w:val="24"/>
        </w:rPr>
        <w:t>回购</w:t>
      </w:r>
      <w:r>
        <w:rPr>
          <w:rFonts w:eastAsia="楷体_GB2312"/>
          <w:kern w:val="0"/>
          <w:sz w:val="24"/>
        </w:rPr>
        <w:t>”</w:t>
      </w:r>
      <w:r>
        <w:rPr>
          <w:rFonts w:hint="eastAsia" w:ascii="楷体_GB2312" w:eastAsia="楷体_GB2312" w:cs="楷体_GB2312"/>
          <w:kern w:val="0"/>
          <w:sz w:val="24"/>
        </w:rPr>
        <w:t>时</w:t>
      </w:r>
      <w:r>
        <w:rPr>
          <w:rFonts w:eastAsia="楷体_GB2312"/>
          <w:kern w:val="0"/>
          <w:sz w:val="24"/>
        </w:rPr>
        <w:t>“</w:t>
      </w:r>
      <w:r>
        <w:rPr>
          <w:rFonts w:hint="eastAsia" w:ascii="楷体_GB2312" w:eastAsia="楷体_GB2312" w:cs="楷体_GB2312"/>
          <w:kern w:val="0"/>
          <w:sz w:val="24"/>
        </w:rPr>
        <w:t>资产</w:t>
      </w:r>
      <w:r>
        <w:rPr>
          <w:rFonts w:eastAsia="楷体_GB2312"/>
          <w:kern w:val="0"/>
          <w:sz w:val="24"/>
        </w:rPr>
        <w:t>”</w:t>
      </w:r>
      <w:r>
        <w:rPr>
          <w:rFonts w:hint="eastAsia" w:ascii="楷体_GB2312" w:eastAsia="楷体_GB2312" w:cs="楷体_GB2312"/>
          <w:kern w:val="0"/>
          <w:sz w:val="24"/>
        </w:rPr>
        <w:t>的价格，</w:t>
      </w:r>
      <w:r>
        <w:rPr>
          <w:rFonts w:hint="eastAsia" w:ascii="楷体_GB2312" w:eastAsia="楷体_GB2312" w:cs="楷体_GB2312"/>
          <w:bCs/>
          <w:sz w:val="24"/>
        </w:rPr>
        <w:t>即【在对应的</w:t>
      </w:r>
      <w:r>
        <w:rPr>
          <w:rFonts w:eastAsia="楷体_GB2312"/>
          <w:bCs/>
          <w:sz w:val="24"/>
        </w:rPr>
        <w:t>“</w:t>
      </w:r>
      <w:r>
        <w:rPr>
          <w:rFonts w:hint="eastAsia" w:ascii="楷体_GB2312" w:eastAsia="楷体_GB2312" w:cs="楷体_GB2312"/>
          <w:bCs/>
          <w:sz w:val="24"/>
        </w:rPr>
        <w:t>回购起算日</w:t>
      </w:r>
      <w:r>
        <w:rPr>
          <w:rFonts w:eastAsia="楷体_GB2312"/>
          <w:bCs/>
          <w:sz w:val="24"/>
        </w:rPr>
        <w:t>”</w:t>
      </w:r>
      <w:r>
        <w:rPr>
          <w:rFonts w:hint="eastAsia" w:ascii="楷体_GB2312" w:eastAsia="楷体_GB2312" w:cs="楷体_GB2312"/>
          <w:bCs/>
          <w:sz w:val="24"/>
        </w:rPr>
        <w:t>【】点，该笔</w:t>
      </w:r>
      <w:r>
        <w:rPr>
          <w:rFonts w:eastAsia="楷体_GB2312"/>
          <w:bCs/>
          <w:sz w:val="24"/>
        </w:rPr>
        <w:t>“</w:t>
      </w:r>
      <w:r>
        <w:rPr>
          <w:rFonts w:hint="eastAsia" w:ascii="楷体_GB2312" w:eastAsia="楷体_GB2312" w:cs="楷体_GB2312"/>
          <w:bCs/>
          <w:sz w:val="24"/>
        </w:rPr>
        <w:t>资产</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未偿金额</w:t>
      </w:r>
      <w:r>
        <w:rPr>
          <w:rFonts w:eastAsia="楷体_GB2312"/>
          <w:bCs/>
          <w:sz w:val="24"/>
        </w:rPr>
        <w:t>”</w:t>
      </w:r>
      <w:r>
        <w:rPr>
          <w:rFonts w:hint="eastAsia" w:ascii="楷体_GB2312" w:eastAsia="楷体_GB2312" w:cs="楷体_GB2312"/>
          <w:bCs/>
          <w:sz w:val="24"/>
        </w:rPr>
        <w:t>】</w:t>
      </w:r>
      <w:r>
        <w:rPr>
          <w:rFonts w:hint="eastAsia" w:ascii="楷体_GB2312" w:eastAsia="楷体_GB2312" w:cs="楷体_GB2312"/>
          <w:kern w:val="0"/>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kern w:val="0"/>
          <w:sz w:val="24"/>
        </w:rPr>
        <w:t>综合折价率：</w:t>
      </w:r>
      <w:r>
        <w:rPr>
          <w:rFonts w:hint="eastAsia" w:ascii="楷体_GB2312" w:eastAsia="楷体_GB2312" w:cs="楷体_GB2312"/>
          <w:kern w:val="0"/>
          <w:sz w:val="24"/>
        </w:rPr>
        <w:t>指</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与</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共同确定的</w:t>
      </w:r>
      <w:r>
        <w:rPr>
          <w:rFonts w:eastAsia="楷体_GB2312"/>
          <w:kern w:val="0"/>
          <w:sz w:val="24"/>
        </w:rPr>
        <w:t>“</w:t>
      </w:r>
      <w:r>
        <w:rPr>
          <w:rFonts w:hint="eastAsia" w:ascii="楷体_GB2312" w:eastAsia="楷体_GB2312" w:cs="楷体_GB2312"/>
          <w:kern w:val="0"/>
          <w:sz w:val="24"/>
        </w:rPr>
        <w:t>追加资产</w:t>
      </w:r>
      <w:r>
        <w:rPr>
          <w:rFonts w:eastAsia="楷体_GB2312"/>
          <w:kern w:val="0"/>
          <w:sz w:val="24"/>
        </w:rPr>
        <w:t>”</w:t>
      </w:r>
      <w:r>
        <w:rPr>
          <w:rFonts w:hint="eastAsia" w:ascii="楷体_GB2312" w:eastAsia="楷体_GB2312" w:cs="楷体_GB2312"/>
          <w:kern w:val="0"/>
          <w:sz w:val="24"/>
        </w:rPr>
        <w:t>信托予</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，或者</w:t>
      </w:r>
      <w:r>
        <w:rPr>
          <w:rFonts w:eastAsia="楷体_GB2312"/>
          <w:kern w:val="0"/>
          <w:sz w:val="24"/>
        </w:rPr>
        <w:t>“</w:t>
      </w:r>
      <w:r>
        <w:rPr>
          <w:rFonts w:hint="eastAsia" w:ascii="楷体_GB2312" w:eastAsia="楷体_GB2312" w:cs="楷体_GB2312"/>
          <w:kern w:val="0"/>
          <w:sz w:val="24"/>
        </w:rPr>
        <w:t>循环购买资产</w:t>
      </w:r>
      <w:r>
        <w:rPr>
          <w:rFonts w:eastAsia="楷体_GB2312"/>
          <w:kern w:val="0"/>
          <w:sz w:val="24"/>
        </w:rPr>
        <w:t>”</w:t>
      </w:r>
      <w:r>
        <w:rPr>
          <w:rFonts w:hint="eastAsia" w:ascii="楷体_GB2312" w:eastAsia="楷体_GB2312" w:cs="楷体_GB2312"/>
          <w:kern w:val="0"/>
          <w:sz w:val="24"/>
        </w:rPr>
        <w:t>转让予</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的综合折价比率。该比率以</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签章确认的</w:t>
      </w:r>
      <w:r>
        <w:rPr>
          <w:rFonts w:eastAsia="楷体_GB2312"/>
          <w:kern w:val="0"/>
          <w:sz w:val="24"/>
        </w:rPr>
        <w:t>“</w:t>
      </w:r>
      <w:r>
        <w:rPr>
          <w:rFonts w:hint="eastAsia" w:ascii="楷体_GB2312" w:eastAsia="楷体_GB2312" w:cs="楷体_GB2312"/>
          <w:kern w:val="0"/>
          <w:sz w:val="24"/>
        </w:rPr>
        <w:t>《资产清单》</w:t>
      </w:r>
      <w:r>
        <w:rPr>
          <w:rFonts w:eastAsia="楷体_GB2312"/>
          <w:kern w:val="0"/>
          <w:sz w:val="24"/>
        </w:rPr>
        <w:t>”</w:t>
      </w:r>
      <w:r>
        <w:rPr>
          <w:rFonts w:hint="eastAsia" w:ascii="楷体_GB2312" w:eastAsia="楷体_GB2312" w:cs="楷体_GB2312"/>
          <w:kern w:val="0"/>
          <w:sz w:val="24"/>
        </w:rPr>
        <w:t>中所载的综合折价率为准。</w:t>
      </w:r>
    </w:p>
    <w:p>
      <w:pPr>
        <w:adjustRightInd w:val="0"/>
        <w:spacing w:beforeLines="50" w:afterLines="50" w:line="240" w:lineRule="atLeast"/>
        <w:ind w:left="851"/>
        <w:textAlignment w:val="baseline"/>
        <w:rPr>
          <w:rFonts w:eastAsia="楷体_GB2312"/>
          <w:b/>
          <w:bCs/>
          <w:i/>
          <w:color w:val="FF0000"/>
          <w:sz w:val="24"/>
          <w:u w:val="single"/>
        </w:rPr>
      </w:pPr>
      <w:r>
        <w:rPr>
          <w:rFonts w:hint="eastAsia" w:ascii="楷体_GB2312" w:eastAsia="楷体_GB2312" w:cs="楷体_GB2312"/>
          <w:b/>
          <w:bCs/>
          <w:i/>
          <w:color w:val="FF0000"/>
          <w:sz w:val="24"/>
          <w:u w:val="single"/>
        </w:rPr>
        <w:t>追加交付价格</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rPr>
        <w:t>循环购买价格</w:t>
      </w:r>
      <w:r>
        <w:rPr>
          <w:rFonts w:hint="eastAsia" w:ascii="楷体_GB2312" w:eastAsia="楷体_GB2312" w:cs="楷体_GB2312"/>
          <w:b/>
          <w:bCs/>
          <w:i/>
          <w:color w:val="FF0000"/>
          <w:sz w:val="24"/>
          <w:u w:val="single"/>
          <w:lang w:eastAsia="zh-CN"/>
        </w:rPr>
        <w:t>、</w:t>
      </w:r>
      <w:r>
        <w:rPr>
          <w:rFonts w:hint="eastAsia" w:ascii="楷体_GB2312" w:eastAsia="楷体_GB2312" w:cs="楷体_GB2312"/>
          <w:b/>
          <w:bCs/>
          <w:i/>
          <w:color w:val="FF0000"/>
          <w:sz w:val="24"/>
          <w:u w:val="single"/>
          <w:lang w:val="en-US" w:eastAsia="zh-CN"/>
        </w:rPr>
        <w:t>赎回价格和回购价格相关</w:t>
      </w:r>
      <w:r>
        <w:rPr>
          <w:rFonts w:hint="eastAsia" w:ascii="楷体_GB2312" w:eastAsia="楷体_GB2312" w:cs="楷体_GB2312"/>
          <w:b/>
          <w:bCs/>
          <w:i/>
          <w:color w:val="FF0000"/>
          <w:sz w:val="24"/>
          <w:u w:val="single"/>
        </w:rPr>
        <w:t>定义</w:t>
      </w:r>
      <w:r>
        <w:rPr>
          <w:rFonts w:hint="eastAsia" w:ascii="楷体_GB2312" w:eastAsia="楷体_GB2312" w:cs="楷体_GB2312"/>
          <w:b/>
          <w:bCs/>
          <w:i/>
          <w:color w:val="FF0000"/>
          <w:sz w:val="24"/>
          <w:u w:val="single"/>
          <w:lang w:val="en-US" w:eastAsia="zh-CN"/>
        </w:rPr>
        <w:t>和条款</w:t>
      </w:r>
      <w:r>
        <w:rPr>
          <w:rFonts w:hint="eastAsia" w:ascii="楷体_GB2312" w:eastAsia="楷体_GB2312" w:cs="楷体_GB2312"/>
          <w:b/>
          <w:bCs/>
          <w:i/>
          <w:color w:val="FF0000"/>
          <w:sz w:val="24"/>
          <w:u w:val="single"/>
        </w:rPr>
        <w:t>、综合折价率的计算</w:t>
      </w:r>
      <w:r>
        <w:rPr>
          <w:rFonts w:hint="eastAsia" w:ascii="楷体_GB2312" w:eastAsia="楷体_GB2312" w:cs="楷体_GB2312"/>
          <w:b/>
          <w:bCs/>
          <w:i/>
          <w:color w:val="FF0000"/>
          <w:sz w:val="24"/>
          <w:u w:val="single"/>
          <w:lang w:val="en-US" w:eastAsia="zh-CN"/>
        </w:rPr>
        <w:t>方式应</w:t>
      </w:r>
      <w:r>
        <w:rPr>
          <w:rFonts w:hint="eastAsia" w:ascii="楷体_GB2312" w:eastAsia="楷体_GB2312" w:cs="楷体_GB2312"/>
          <w:b/>
          <w:bCs/>
          <w:i/>
          <w:color w:val="FF0000"/>
          <w:sz w:val="24"/>
          <w:u w:val="single"/>
        </w:rPr>
        <w:t>根据</w:t>
      </w:r>
      <w:r>
        <w:rPr>
          <w:rFonts w:hint="eastAsia" w:ascii="楷体_GB2312" w:eastAsia="楷体_GB2312" w:cs="楷体_GB2312"/>
          <w:b/>
          <w:i/>
          <w:color w:val="FF0000"/>
          <w:sz w:val="24"/>
          <w:u w:val="single"/>
        </w:rPr>
        <w:t>实际</w:t>
      </w:r>
      <w:r>
        <w:rPr>
          <w:rFonts w:hint="eastAsia" w:ascii="楷体_GB2312" w:eastAsia="楷体_GB2312" w:cs="楷体_GB2312"/>
          <w:b/>
          <w:bCs/>
          <w:i/>
          <w:color w:val="FF0000"/>
          <w:sz w:val="24"/>
          <w:u w:val="single"/>
        </w:rPr>
        <w:t>情况</w:t>
      </w:r>
      <w:r>
        <w:rPr>
          <w:rFonts w:hint="eastAsia" w:ascii="楷体_GB2312" w:eastAsia="楷体_GB2312" w:cs="楷体_GB2312"/>
          <w:b/>
          <w:bCs/>
          <w:i/>
          <w:color w:val="FF0000"/>
          <w:sz w:val="24"/>
          <w:u w:val="single"/>
          <w:lang w:val="en-US" w:eastAsia="zh-CN"/>
        </w:rPr>
        <w:t>修改</w:t>
      </w:r>
      <w:r>
        <w:rPr>
          <w:rFonts w:hint="eastAsia" w:ascii="楷体_GB2312" w:eastAsia="楷体_GB2312" w:cs="楷体_GB2312"/>
          <w:b/>
          <w:bCs/>
          <w:i/>
          <w:color w:val="FF0000"/>
          <w:sz w:val="24"/>
          <w:u w:val="single"/>
        </w:rPr>
        <w:t>。</w:t>
      </w:r>
    </w:p>
    <w:p>
      <w:pPr>
        <w:pStyle w:val="13"/>
        <w:spacing w:beforeLines="50" w:afterLines="50" w:line="240" w:lineRule="atLeast"/>
        <w:outlineLvl w:val="2"/>
        <w:rPr>
          <w:rFonts w:eastAsia="楷体_GB2312"/>
          <w:b/>
        </w:rPr>
      </w:pPr>
      <w:r>
        <w:rPr>
          <w:rFonts w:eastAsia="楷体_GB2312"/>
          <w:b/>
        </w:rPr>
        <w:t>3</w:t>
      </w:r>
      <w:r>
        <w:rPr>
          <w:rFonts w:hint="eastAsia" w:ascii="楷体_GB2312" w:eastAsia="楷体_GB2312" w:cs="楷体_GB2312"/>
          <w:b/>
        </w:rPr>
        <w:t>、信托受益权和资产支持商业票据</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信托利益：</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扣除与</w:t>
      </w:r>
      <w:r>
        <w:rPr>
          <w:rFonts w:eastAsia="楷体_GB2312"/>
          <w:bCs/>
          <w:sz w:val="24"/>
        </w:rPr>
        <w:t>“</w:t>
      </w:r>
      <w:r>
        <w:rPr>
          <w:rFonts w:hint="eastAsia" w:ascii="楷体_GB2312" w:eastAsia="楷体_GB2312" w:cs="楷体_GB2312"/>
          <w:bCs/>
          <w:sz w:val="24"/>
        </w:rPr>
        <w:t>信托</w:t>
      </w:r>
      <w:r>
        <w:rPr>
          <w:rFonts w:eastAsia="楷体_GB2312"/>
          <w:bCs/>
          <w:sz w:val="24"/>
        </w:rPr>
        <w:t>”</w:t>
      </w:r>
      <w:r>
        <w:rPr>
          <w:rFonts w:hint="eastAsia" w:ascii="楷体_GB2312" w:eastAsia="楷体_GB2312" w:cs="楷体_GB2312"/>
          <w:bCs/>
          <w:sz w:val="24"/>
        </w:rPr>
        <w:t>相关的应由</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承担的全部税收、报酬（若有）和费用后属于</w:t>
      </w:r>
      <w:r>
        <w:rPr>
          <w:rFonts w:eastAsia="楷体_GB2312"/>
          <w:bCs/>
          <w:sz w:val="24"/>
        </w:rPr>
        <w:t>“</w:t>
      </w:r>
      <w:r>
        <w:rPr>
          <w:rFonts w:hint="eastAsia" w:ascii="楷体_GB2312" w:eastAsia="楷体_GB2312" w:cs="楷体_GB2312"/>
          <w:bCs/>
          <w:sz w:val="24"/>
        </w:rPr>
        <w:t>受益人</w:t>
      </w:r>
      <w:r>
        <w:rPr>
          <w:rFonts w:eastAsia="楷体_GB2312"/>
          <w:bCs/>
          <w:sz w:val="24"/>
        </w:rPr>
        <w:t>”</w:t>
      </w:r>
      <w:r>
        <w:rPr>
          <w:rFonts w:hint="eastAsia" w:ascii="楷体_GB2312" w:eastAsia="楷体_GB2312" w:cs="楷体_GB2312"/>
          <w:bCs/>
          <w:sz w:val="24"/>
        </w:rPr>
        <w:t>享有的利益。</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信托受益权：</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受益人</w:t>
      </w:r>
      <w:r>
        <w:rPr>
          <w:rFonts w:eastAsia="楷体_GB2312"/>
          <w:bCs/>
          <w:sz w:val="24"/>
        </w:rPr>
        <w:t>”</w:t>
      </w:r>
      <w:r>
        <w:rPr>
          <w:rFonts w:hint="eastAsia" w:ascii="楷体_GB2312" w:eastAsia="楷体_GB2312" w:cs="楷体_GB2312"/>
          <w:bCs/>
          <w:sz w:val="24"/>
        </w:rPr>
        <w:t>按照</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的约定获得</w:t>
      </w:r>
      <w:r>
        <w:rPr>
          <w:rFonts w:eastAsia="楷体_GB2312"/>
          <w:bCs/>
          <w:sz w:val="24"/>
        </w:rPr>
        <w:t>“</w:t>
      </w:r>
      <w:r>
        <w:rPr>
          <w:rFonts w:hint="eastAsia" w:ascii="楷体_GB2312" w:eastAsia="楷体_GB2312" w:cs="楷体_GB2312"/>
          <w:bCs/>
          <w:sz w:val="24"/>
        </w:rPr>
        <w:t>信托利益</w:t>
      </w:r>
      <w:r>
        <w:rPr>
          <w:rFonts w:eastAsia="楷体_GB2312"/>
          <w:bCs/>
          <w:sz w:val="24"/>
        </w:rPr>
        <w:t>”</w:t>
      </w:r>
      <w:r>
        <w:rPr>
          <w:rFonts w:hint="eastAsia" w:ascii="楷体_GB2312" w:eastAsia="楷体_GB2312" w:cs="楷体_GB2312"/>
          <w:bCs/>
          <w:sz w:val="24"/>
        </w:rPr>
        <w:t>的权利。</w:t>
      </w:r>
      <w:r>
        <w:rPr>
          <w:rFonts w:eastAsia="楷体_GB2312"/>
          <w:bCs/>
          <w:sz w:val="24"/>
        </w:rPr>
        <w:t>“</w:t>
      </w:r>
      <w:r>
        <w:rPr>
          <w:rFonts w:hint="eastAsia" w:ascii="楷体_GB2312" w:eastAsia="楷体_GB2312" w:cs="楷体_GB2312"/>
          <w:bCs/>
          <w:sz w:val="24"/>
        </w:rPr>
        <w:t>信托受益权</w:t>
      </w:r>
      <w:r>
        <w:rPr>
          <w:rFonts w:eastAsia="楷体_GB2312"/>
          <w:bCs/>
          <w:sz w:val="24"/>
        </w:rPr>
        <w:t>”</w:t>
      </w:r>
      <w:r>
        <w:rPr>
          <w:rFonts w:hint="eastAsia" w:ascii="楷体_GB2312" w:eastAsia="楷体_GB2312" w:cs="楷体_GB2312"/>
          <w:bCs/>
          <w:sz w:val="24"/>
        </w:rPr>
        <w:t>包括</w:t>
      </w:r>
      <w:r>
        <w:rPr>
          <w:rFonts w:eastAsia="楷体_GB2312"/>
          <w:bCs/>
          <w:sz w:val="24"/>
        </w:rPr>
        <w:t>“</w:t>
      </w:r>
      <w:r>
        <w:rPr>
          <w:rFonts w:hint="eastAsia" w:ascii="楷体_GB2312" w:eastAsia="楷体_GB2312" w:cs="楷体_GB2312"/>
          <w:bCs/>
          <w:sz w:val="24"/>
        </w:rPr>
        <w:t>优先级信托受益</w:t>
      </w:r>
      <w:r>
        <w:rPr>
          <w:rFonts w:hint="eastAsia" w:ascii="楷体_GB2312" w:eastAsia="楷体_GB2312" w:cs="楷体_GB2312"/>
          <w:sz w:val="24"/>
        </w:rPr>
        <w:t>权</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次级信托受益权</w:t>
      </w:r>
      <w:r>
        <w:rPr>
          <w:rFonts w:eastAsia="楷体_GB2312"/>
          <w:sz w:val="24"/>
        </w:rPr>
        <w:t>”</w:t>
      </w:r>
      <w:r>
        <w:rPr>
          <w:rFonts w:hint="eastAsia" w:ascii="楷体_GB2312" w:eastAsia="楷体_GB2312" w:cs="楷体_GB2312"/>
          <w:sz w:val="24"/>
        </w:rPr>
        <w:t>。</w:t>
      </w:r>
    </w:p>
    <w:p>
      <w:pPr>
        <w:numPr>
          <w:ilvl w:val="-1"/>
          <w:numId w:val="0"/>
        </w:numPr>
        <w:adjustRightInd w:val="0"/>
        <w:spacing w:beforeLines="50" w:afterLines="50" w:line="240" w:lineRule="atLeast"/>
        <w:ind w:left="851" w:firstLine="0"/>
        <w:textAlignment w:val="baseline"/>
        <w:rPr>
          <w:rFonts w:eastAsia="楷体_GB2312"/>
          <w:sz w:val="24"/>
          <w:u w:val="single"/>
        </w:rPr>
      </w:pPr>
      <w:r>
        <w:rPr>
          <w:rFonts w:hint="eastAsia" w:ascii="楷体_GB2312" w:eastAsia="楷体_GB2312" w:cs="楷体_GB2312"/>
          <w:b/>
          <w:i/>
          <w:color w:val="FF0000"/>
          <w:sz w:val="24"/>
          <w:u w:val="single"/>
          <w:lang w:val="en-US" w:eastAsia="zh-CN"/>
        </w:rPr>
        <w:t>信托受益权的分层、</w:t>
      </w:r>
      <w:r>
        <w:rPr>
          <w:rFonts w:hint="eastAsia" w:ascii="楷体_GB2312" w:eastAsia="楷体_GB2312" w:cs="楷体_GB2312"/>
          <w:b/>
          <w:i/>
          <w:color w:val="FF0000"/>
          <w:sz w:val="24"/>
          <w:u w:val="single"/>
        </w:rPr>
        <w:t>各层级的命名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，下同。</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kern w:val="0"/>
          <w:sz w:val="24"/>
        </w:rPr>
        <w:t>优先级信托受益权：</w:t>
      </w:r>
      <w:r>
        <w:rPr>
          <w:rFonts w:hint="eastAsia" w:ascii="楷体_GB2312" w:eastAsia="楷体_GB2312" w:cs="楷体_GB2312"/>
          <w:kern w:val="0"/>
          <w:sz w:val="24"/>
        </w:rPr>
        <w:t>系指来自于</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分配的优先于</w:t>
      </w:r>
      <w:r>
        <w:rPr>
          <w:rFonts w:eastAsia="楷体_GB2312"/>
          <w:kern w:val="0"/>
          <w:sz w:val="24"/>
        </w:rPr>
        <w:t>“</w:t>
      </w:r>
      <w:r>
        <w:rPr>
          <w:rFonts w:hint="eastAsia" w:ascii="楷体_GB2312" w:eastAsia="楷体_GB2312" w:cs="楷体_GB2312"/>
          <w:kern w:val="0"/>
          <w:sz w:val="24"/>
        </w:rPr>
        <w:t>次级信托受益权</w:t>
      </w:r>
      <w:r>
        <w:rPr>
          <w:rFonts w:eastAsia="楷体_GB2312"/>
          <w:kern w:val="0"/>
          <w:sz w:val="24"/>
        </w:rPr>
        <w:t>”</w:t>
      </w:r>
      <w:r>
        <w:rPr>
          <w:rFonts w:hint="eastAsia" w:ascii="楷体_GB2312" w:eastAsia="楷体_GB2312" w:cs="楷体_GB2312"/>
          <w:kern w:val="0"/>
          <w:sz w:val="24"/>
        </w:rPr>
        <w:t>的权益。一般情形下，</w:t>
      </w:r>
      <w:r>
        <w:rPr>
          <w:rFonts w:eastAsia="楷体_GB2312"/>
          <w:kern w:val="0"/>
          <w:sz w:val="24"/>
        </w:rPr>
        <w:t>“</w:t>
      </w:r>
      <w:r>
        <w:rPr>
          <w:rFonts w:hint="eastAsia" w:ascii="楷体_GB2312" w:eastAsia="楷体_GB2312" w:cs="楷体_GB2312"/>
          <w:kern w:val="0"/>
          <w:sz w:val="24"/>
        </w:rPr>
        <w:t>优先级信托受益权</w:t>
      </w:r>
      <w:r>
        <w:rPr>
          <w:rFonts w:eastAsia="楷体_GB2312"/>
          <w:kern w:val="0"/>
          <w:sz w:val="24"/>
        </w:rPr>
        <w:t>”</w:t>
      </w:r>
      <w:r>
        <w:rPr>
          <w:rFonts w:hint="eastAsia" w:ascii="楷体_GB2312" w:eastAsia="楷体_GB2312" w:cs="楷体_GB2312"/>
          <w:kern w:val="0"/>
          <w:sz w:val="24"/>
        </w:rPr>
        <w:t>由</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所代表。</w:t>
      </w:r>
      <w:r>
        <w:rPr>
          <w:rFonts w:hint="eastAsia" w:ascii="楷体_GB2312" w:eastAsia="楷体_GB2312" w:cs="楷体_GB2312"/>
          <w:sz w:val="24"/>
        </w:rPr>
        <w:t>当且仅当</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的约定受让全部</w:t>
      </w:r>
      <w:r>
        <w:rPr>
          <w:rFonts w:eastAsia="楷体_GB2312"/>
          <w:sz w:val="24"/>
        </w:rPr>
        <w:t>“</w:t>
      </w:r>
      <w:r>
        <w:rPr>
          <w:rFonts w:hint="eastAsia" w:ascii="楷体_GB2312" w:eastAsia="楷体_GB2312" w:cs="楷体_GB2312"/>
          <w:sz w:val="24"/>
        </w:rPr>
        <w:t>优先级信托受益权</w:t>
      </w:r>
      <w:r>
        <w:rPr>
          <w:rFonts w:eastAsia="楷体_GB2312"/>
          <w:sz w:val="24"/>
        </w:rPr>
        <w:t>”</w:t>
      </w:r>
      <w:r>
        <w:rPr>
          <w:rFonts w:hint="eastAsia" w:ascii="楷体_GB2312" w:eastAsia="楷体_GB2312" w:cs="楷体_GB2312"/>
          <w:sz w:val="24"/>
        </w:rPr>
        <w:t>并成为</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项下唯一</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sz w:val="24"/>
        </w:rPr>
        <w:t>时，</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项下的</w:t>
      </w:r>
      <w:r>
        <w:rPr>
          <w:rFonts w:eastAsia="楷体_GB2312"/>
          <w:kern w:val="0"/>
          <w:sz w:val="24"/>
        </w:rPr>
        <w:t>“</w:t>
      </w:r>
      <w:r>
        <w:rPr>
          <w:rFonts w:hint="eastAsia" w:ascii="楷体_GB2312" w:eastAsia="楷体_GB2312" w:cs="楷体_GB2312"/>
          <w:kern w:val="0"/>
          <w:sz w:val="24"/>
        </w:rPr>
        <w:t>优先级信托受益权</w:t>
      </w:r>
      <w:r>
        <w:rPr>
          <w:rFonts w:eastAsia="楷体_GB2312"/>
          <w:kern w:val="0"/>
          <w:sz w:val="24"/>
        </w:rPr>
        <w:t>”</w:t>
      </w: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处进行登记。</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kern w:val="0"/>
          <w:sz w:val="24"/>
        </w:rPr>
        <w:t>次级信托受益权：</w:t>
      </w:r>
      <w:r>
        <w:rPr>
          <w:rFonts w:hint="eastAsia" w:ascii="楷体_GB2312" w:eastAsia="楷体_GB2312" w:cs="楷体_GB2312"/>
          <w:kern w:val="0"/>
          <w:sz w:val="24"/>
        </w:rPr>
        <w:t>系指由</w:t>
      </w:r>
      <w:r>
        <w:rPr>
          <w:rFonts w:eastAsia="楷体_GB2312"/>
          <w:kern w:val="0"/>
          <w:sz w:val="24"/>
        </w:rPr>
        <w:t>“</w:t>
      </w:r>
      <w:r>
        <w:rPr>
          <w:rFonts w:hint="eastAsia" w:ascii="楷体_GB2312" w:eastAsia="楷体_GB2312" w:cs="楷体_GB2312"/>
          <w:kern w:val="0"/>
          <w:sz w:val="24"/>
        </w:rPr>
        <w:t>次级资产支持商业票据</w:t>
      </w:r>
      <w:r>
        <w:rPr>
          <w:rFonts w:eastAsia="楷体_GB2312"/>
          <w:kern w:val="0"/>
          <w:sz w:val="24"/>
        </w:rPr>
        <w:t>”</w:t>
      </w:r>
      <w:r>
        <w:rPr>
          <w:rFonts w:hint="eastAsia" w:ascii="楷体_GB2312" w:eastAsia="楷体_GB2312" w:cs="楷体_GB2312"/>
          <w:kern w:val="0"/>
          <w:sz w:val="24"/>
        </w:rPr>
        <w:t>所代表的来自于</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分配的次于</w:t>
      </w:r>
      <w:r>
        <w:rPr>
          <w:rFonts w:eastAsia="楷体_GB2312"/>
          <w:kern w:val="0"/>
          <w:sz w:val="24"/>
        </w:rPr>
        <w:t>“</w:t>
      </w:r>
      <w:r>
        <w:rPr>
          <w:rFonts w:hint="eastAsia" w:ascii="楷体_GB2312" w:eastAsia="楷体_GB2312" w:cs="楷体_GB2312"/>
          <w:kern w:val="0"/>
          <w:sz w:val="24"/>
        </w:rPr>
        <w:t>优先级信托受益权</w:t>
      </w:r>
      <w:r>
        <w:rPr>
          <w:rFonts w:eastAsia="楷体_GB2312"/>
          <w:kern w:val="0"/>
          <w:sz w:val="24"/>
        </w:rPr>
        <w:t>”</w:t>
      </w:r>
      <w:r>
        <w:rPr>
          <w:rFonts w:hint="eastAsia" w:ascii="楷体_GB2312" w:eastAsia="楷体_GB2312" w:cs="楷体_GB2312"/>
          <w:kern w:val="0"/>
          <w:sz w:val="24"/>
        </w:rPr>
        <w:t>的权益。</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kern w:val="0"/>
          <w:sz w:val="24"/>
        </w:rPr>
        <w:t>信托受益权转让对价：</w:t>
      </w:r>
      <w:r>
        <w:rPr>
          <w:rFonts w:hint="eastAsia" w:ascii="楷体_GB2312" w:eastAsia="楷体_GB2312" w:cs="楷体_GB2312"/>
          <w:bCs/>
          <w:kern w:val="0"/>
          <w:sz w:val="24"/>
        </w:rPr>
        <w:t>系指因</w:t>
      </w:r>
      <w:r>
        <w:rPr>
          <w:rFonts w:eastAsia="楷体_GB2312"/>
          <w:bCs/>
          <w:kern w:val="0"/>
          <w:sz w:val="24"/>
        </w:rPr>
        <w:t>“</w:t>
      </w:r>
      <w:r>
        <w:rPr>
          <w:rFonts w:hint="eastAsia" w:ascii="楷体_GB2312" w:eastAsia="楷体_GB2312" w:cs="楷体_GB2312"/>
          <w:bCs/>
          <w:kern w:val="0"/>
          <w:sz w:val="24"/>
        </w:rPr>
        <w:t>滚动发行</w:t>
      </w:r>
      <w:r>
        <w:rPr>
          <w:rFonts w:eastAsia="楷体_GB2312"/>
          <w:bCs/>
          <w:kern w:val="0"/>
          <w:sz w:val="24"/>
        </w:rPr>
        <w:t>”</w:t>
      </w:r>
      <w:r>
        <w:rPr>
          <w:rFonts w:hint="eastAsia" w:ascii="楷体_GB2312" w:eastAsia="楷体_GB2312" w:cs="楷体_GB2312"/>
          <w:bCs/>
          <w:kern w:val="0"/>
          <w:sz w:val="24"/>
        </w:rPr>
        <w:t>或</w:t>
      </w:r>
      <w:r>
        <w:rPr>
          <w:rFonts w:eastAsia="楷体_GB2312"/>
          <w:bCs/>
          <w:kern w:val="0"/>
          <w:sz w:val="24"/>
        </w:rPr>
        <w:t>“</w:t>
      </w:r>
      <w:r>
        <w:rPr>
          <w:rFonts w:hint="eastAsia" w:ascii="楷体_GB2312" w:eastAsia="楷体_GB2312" w:cs="楷体_GB2312"/>
          <w:bCs/>
          <w:kern w:val="0"/>
          <w:sz w:val="24"/>
        </w:rPr>
        <w:t>委托人</w:t>
      </w:r>
      <w:r>
        <w:rPr>
          <w:rFonts w:eastAsia="楷体_GB2312"/>
          <w:bCs/>
          <w:kern w:val="0"/>
          <w:sz w:val="24"/>
        </w:rPr>
        <w:t>”</w:t>
      </w:r>
      <w:r>
        <w:rPr>
          <w:rFonts w:hint="eastAsia" w:ascii="楷体_GB2312" w:eastAsia="楷体_GB2312" w:cs="楷体_GB2312"/>
          <w:bCs/>
          <w:kern w:val="0"/>
          <w:sz w:val="24"/>
        </w:rPr>
        <w:t>受让</w:t>
      </w:r>
      <w:r>
        <w:rPr>
          <w:rFonts w:eastAsia="楷体_GB2312"/>
          <w:bCs/>
          <w:kern w:val="0"/>
          <w:sz w:val="24"/>
        </w:rPr>
        <w:t>“</w:t>
      </w:r>
      <w:r>
        <w:rPr>
          <w:rFonts w:hint="eastAsia" w:ascii="楷体_GB2312" w:eastAsia="楷体_GB2312" w:cs="楷体_GB2312"/>
          <w:bCs/>
          <w:kern w:val="0"/>
          <w:sz w:val="24"/>
        </w:rPr>
        <w:t>信托受益权</w:t>
      </w:r>
      <w:r>
        <w:rPr>
          <w:rFonts w:eastAsia="楷体_GB2312"/>
          <w:bCs/>
          <w:kern w:val="0"/>
          <w:sz w:val="24"/>
        </w:rPr>
        <w:t>”</w:t>
      </w:r>
      <w:r>
        <w:rPr>
          <w:rFonts w:hint="eastAsia" w:ascii="楷体_GB2312" w:eastAsia="楷体_GB2312" w:cs="楷体_GB2312"/>
          <w:bCs/>
          <w:kern w:val="0"/>
          <w:sz w:val="24"/>
        </w:rPr>
        <w:t>，前一期</w:t>
      </w:r>
      <w:r>
        <w:rPr>
          <w:rFonts w:eastAsia="楷体_GB2312"/>
          <w:bCs/>
          <w:kern w:val="0"/>
          <w:sz w:val="24"/>
        </w:rPr>
        <w:t>“</w:t>
      </w:r>
      <w:r>
        <w:rPr>
          <w:rFonts w:hint="eastAsia" w:ascii="楷体_GB2312" w:eastAsia="楷体_GB2312" w:cs="楷体_GB2312"/>
          <w:bCs/>
          <w:kern w:val="0"/>
          <w:sz w:val="24"/>
        </w:rPr>
        <w:t>资产支持商业票据持有人</w:t>
      </w:r>
      <w:r>
        <w:rPr>
          <w:rFonts w:eastAsia="楷体_GB2312"/>
          <w:bCs/>
          <w:kern w:val="0"/>
          <w:sz w:val="24"/>
        </w:rPr>
        <w:t>”</w:t>
      </w:r>
      <w:r>
        <w:rPr>
          <w:rFonts w:hint="eastAsia" w:ascii="楷体_GB2312" w:eastAsia="楷体_GB2312" w:cs="楷体_GB2312"/>
          <w:bCs/>
          <w:kern w:val="0"/>
          <w:sz w:val="24"/>
        </w:rPr>
        <w:t>作为</w:t>
      </w:r>
      <w:r>
        <w:rPr>
          <w:rFonts w:eastAsia="楷体_GB2312"/>
          <w:bCs/>
          <w:kern w:val="0"/>
          <w:sz w:val="24"/>
        </w:rPr>
        <w:t>“</w:t>
      </w:r>
      <w:r>
        <w:rPr>
          <w:rFonts w:hint="eastAsia" w:ascii="楷体_GB2312" w:eastAsia="楷体_GB2312" w:cs="楷体_GB2312"/>
          <w:bCs/>
          <w:kern w:val="0"/>
          <w:sz w:val="24"/>
        </w:rPr>
        <w:t>信托受益权</w:t>
      </w:r>
      <w:r>
        <w:rPr>
          <w:rFonts w:eastAsia="楷体_GB2312"/>
          <w:bCs/>
          <w:kern w:val="0"/>
          <w:sz w:val="24"/>
        </w:rPr>
        <w:t>”</w:t>
      </w:r>
      <w:r>
        <w:rPr>
          <w:rFonts w:hint="eastAsia" w:ascii="楷体_GB2312" w:eastAsia="楷体_GB2312" w:cs="楷体_GB2312"/>
          <w:bCs/>
          <w:kern w:val="0"/>
          <w:sz w:val="24"/>
        </w:rPr>
        <w:t>的转让方所获得的价款。</w:t>
      </w:r>
      <w:r>
        <w:rPr>
          <w:rFonts w:eastAsia="楷体_GB2312"/>
          <w:bCs/>
          <w:kern w:val="0"/>
          <w:sz w:val="24"/>
        </w:rPr>
        <w:t>“</w:t>
      </w:r>
      <w:r>
        <w:rPr>
          <w:rFonts w:hint="eastAsia" w:ascii="楷体_GB2312" w:eastAsia="楷体_GB2312" w:cs="楷体_GB2312"/>
          <w:bCs/>
          <w:kern w:val="0"/>
          <w:sz w:val="24"/>
        </w:rPr>
        <w:t>信托受益权转让对价</w:t>
      </w:r>
      <w:r>
        <w:rPr>
          <w:rFonts w:eastAsia="楷体_GB2312"/>
          <w:bCs/>
          <w:kern w:val="0"/>
          <w:sz w:val="24"/>
        </w:rPr>
        <w:t>”</w:t>
      </w:r>
      <w:r>
        <w:rPr>
          <w:rFonts w:hint="eastAsia" w:ascii="楷体_GB2312" w:eastAsia="楷体_GB2312" w:cs="楷体_GB2312"/>
          <w:bCs/>
          <w:kern w:val="0"/>
          <w:sz w:val="24"/>
        </w:rPr>
        <w:t>的金额按</w:t>
      </w:r>
      <w:r>
        <w:rPr>
          <w:rFonts w:eastAsia="楷体_GB2312"/>
          <w:bCs/>
          <w:kern w:val="0"/>
          <w:sz w:val="24"/>
        </w:rPr>
        <w:t>A+B-C</w:t>
      </w:r>
      <w:r>
        <w:rPr>
          <w:rFonts w:hint="eastAsia" w:ascii="楷体_GB2312" w:eastAsia="楷体_GB2312" w:cs="楷体_GB2312"/>
          <w:bCs/>
          <w:kern w:val="0"/>
          <w:sz w:val="24"/>
        </w:rPr>
        <w:t>计算得出：</w:t>
      </w:r>
      <w:r>
        <w:rPr>
          <w:rFonts w:eastAsia="楷体_GB2312"/>
          <w:bCs/>
          <w:kern w:val="0"/>
          <w:sz w:val="24"/>
        </w:rPr>
        <w:t>A</w:t>
      </w:r>
      <w:r>
        <w:rPr>
          <w:rFonts w:hint="eastAsia" w:ascii="楷体_GB2312" w:eastAsia="楷体_GB2312" w:cs="楷体_GB2312"/>
          <w:bCs/>
          <w:kern w:val="0"/>
          <w:sz w:val="24"/>
        </w:rPr>
        <w:t>指对应的</w:t>
      </w:r>
      <w:r>
        <w:rPr>
          <w:rFonts w:eastAsia="楷体_GB2312"/>
          <w:bCs/>
          <w:kern w:val="0"/>
          <w:sz w:val="24"/>
        </w:rPr>
        <w:t>“</w:t>
      </w:r>
      <w:r>
        <w:rPr>
          <w:rFonts w:hint="eastAsia" w:ascii="楷体_GB2312" w:eastAsia="楷体_GB2312" w:cs="楷体_GB2312"/>
          <w:bCs/>
          <w:kern w:val="0"/>
          <w:sz w:val="24"/>
        </w:rPr>
        <w:t>资产支持商业票据</w:t>
      </w:r>
      <w:r>
        <w:rPr>
          <w:rFonts w:eastAsia="楷体_GB2312"/>
          <w:bCs/>
          <w:kern w:val="0"/>
          <w:sz w:val="24"/>
        </w:rPr>
        <w:t>”</w:t>
      </w:r>
      <w:r>
        <w:rPr>
          <w:rFonts w:hint="eastAsia" w:ascii="楷体_GB2312" w:eastAsia="楷体_GB2312" w:cs="楷体_GB2312"/>
          <w:bCs/>
          <w:kern w:val="0"/>
          <w:sz w:val="24"/>
        </w:rPr>
        <w:t>在</w:t>
      </w:r>
      <w:r>
        <w:rPr>
          <w:rFonts w:eastAsia="楷体_GB2312"/>
          <w:bCs/>
          <w:kern w:val="0"/>
          <w:sz w:val="24"/>
        </w:rPr>
        <w:t>“</w:t>
      </w:r>
      <w:r>
        <w:rPr>
          <w:rFonts w:hint="eastAsia" w:ascii="楷体_GB2312" w:eastAsia="楷体_GB2312" w:cs="楷体_GB2312"/>
          <w:bCs/>
          <w:kern w:val="0"/>
          <w:sz w:val="24"/>
        </w:rPr>
        <w:t>到期日</w:t>
      </w:r>
      <w:r>
        <w:rPr>
          <w:rFonts w:eastAsia="楷体_GB2312"/>
          <w:bCs/>
          <w:kern w:val="0"/>
          <w:sz w:val="24"/>
        </w:rPr>
        <w:t>”</w:t>
      </w:r>
      <w:r>
        <w:rPr>
          <w:rFonts w:hint="eastAsia" w:ascii="楷体_GB2312" w:eastAsia="楷体_GB2312" w:cs="楷体_GB2312"/>
          <w:bCs/>
          <w:kern w:val="0"/>
          <w:sz w:val="24"/>
        </w:rPr>
        <w:t>前一日的</w:t>
      </w:r>
      <w:r>
        <w:rPr>
          <w:rFonts w:eastAsia="楷体_GB2312"/>
          <w:bCs/>
          <w:kern w:val="0"/>
          <w:sz w:val="24"/>
        </w:rPr>
        <w:t>“</w:t>
      </w:r>
      <w:r>
        <w:rPr>
          <w:rFonts w:hint="eastAsia" w:ascii="楷体_GB2312" w:eastAsia="楷体_GB2312" w:cs="楷体_GB2312"/>
          <w:bCs/>
          <w:kern w:val="0"/>
          <w:sz w:val="24"/>
        </w:rPr>
        <w:t>未偿本金余额</w:t>
      </w:r>
      <w:r>
        <w:rPr>
          <w:rFonts w:eastAsia="楷体_GB2312"/>
          <w:bCs/>
          <w:kern w:val="0"/>
          <w:sz w:val="24"/>
        </w:rPr>
        <w:t>”</w:t>
      </w:r>
      <w:r>
        <w:rPr>
          <w:rFonts w:hint="eastAsia" w:ascii="楷体_GB2312" w:eastAsia="楷体_GB2312" w:cs="楷体_GB2312"/>
          <w:bCs/>
          <w:kern w:val="0"/>
          <w:sz w:val="24"/>
        </w:rPr>
        <w:t>；</w:t>
      </w:r>
      <w:r>
        <w:rPr>
          <w:rFonts w:eastAsia="楷体_GB2312"/>
          <w:bCs/>
          <w:kern w:val="0"/>
          <w:sz w:val="24"/>
        </w:rPr>
        <w:t>B</w:t>
      </w:r>
      <w:r>
        <w:rPr>
          <w:rFonts w:hint="eastAsia" w:ascii="楷体_GB2312" w:eastAsia="楷体_GB2312" w:cs="楷体_GB2312"/>
          <w:bCs/>
          <w:kern w:val="0"/>
          <w:sz w:val="24"/>
        </w:rPr>
        <w:t>指对应的</w:t>
      </w:r>
      <w:r>
        <w:rPr>
          <w:rFonts w:eastAsia="楷体_GB2312"/>
          <w:bCs/>
          <w:kern w:val="0"/>
          <w:sz w:val="24"/>
        </w:rPr>
        <w:t>“</w:t>
      </w:r>
      <w:r>
        <w:rPr>
          <w:rFonts w:hint="eastAsia" w:ascii="楷体_GB2312" w:eastAsia="楷体_GB2312" w:cs="楷体_GB2312"/>
          <w:bCs/>
          <w:kern w:val="0"/>
          <w:sz w:val="24"/>
        </w:rPr>
        <w:t>资产支持商业票据</w:t>
      </w:r>
      <w:r>
        <w:rPr>
          <w:rFonts w:eastAsia="楷体_GB2312"/>
          <w:bCs/>
          <w:kern w:val="0"/>
          <w:sz w:val="24"/>
        </w:rPr>
        <w:t>”</w:t>
      </w:r>
      <w:r>
        <w:rPr>
          <w:rFonts w:hint="eastAsia" w:ascii="楷体_GB2312" w:eastAsia="楷体_GB2312" w:cs="楷体_GB2312"/>
          <w:bCs/>
          <w:kern w:val="0"/>
          <w:sz w:val="24"/>
        </w:rPr>
        <w:t>在</w:t>
      </w:r>
      <w:r>
        <w:rPr>
          <w:rFonts w:eastAsia="楷体_GB2312"/>
          <w:bCs/>
          <w:kern w:val="0"/>
          <w:sz w:val="24"/>
        </w:rPr>
        <w:t>“</w:t>
      </w:r>
      <w:r>
        <w:rPr>
          <w:rFonts w:hint="eastAsia" w:ascii="楷体_GB2312" w:eastAsia="楷体_GB2312" w:cs="楷体_GB2312"/>
          <w:bCs/>
          <w:kern w:val="0"/>
          <w:sz w:val="24"/>
        </w:rPr>
        <w:t>到期日</w:t>
      </w:r>
      <w:r>
        <w:rPr>
          <w:rFonts w:eastAsia="楷体_GB2312"/>
          <w:bCs/>
          <w:kern w:val="0"/>
          <w:sz w:val="24"/>
        </w:rPr>
        <w:t>”</w:t>
      </w:r>
      <w:r>
        <w:rPr>
          <w:rFonts w:hint="eastAsia" w:ascii="楷体_GB2312" w:eastAsia="楷体_GB2312" w:cs="楷体_GB2312"/>
          <w:bCs/>
          <w:kern w:val="0"/>
          <w:sz w:val="24"/>
        </w:rPr>
        <w:t>前一日的累计应付未付利息；</w:t>
      </w:r>
      <w:r>
        <w:rPr>
          <w:rFonts w:eastAsia="楷体_GB2312"/>
          <w:bCs/>
          <w:kern w:val="0"/>
          <w:sz w:val="24"/>
        </w:rPr>
        <w:t>C</w:t>
      </w:r>
      <w:r>
        <w:rPr>
          <w:rFonts w:hint="eastAsia" w:ascii="楷体_GB2312" w:eastAsia="楷体_GB2312" w:cs="楷体_GB2312"/>
          <w:bCs/>
          <w:kern w:val="0"/>
          <w:sz w:val="24"/>
        </w:rPr>
        <w:t>指对应的</w:t>
      </w:r>
      <w:r>
        <w:rPr>
          <w:rFonts w:eastAsia="楷体_GB2312"/>
          <w:bCs/>
          <w:kern w:val="0"/>
          <w:sz w:val="24"/>
        </w:rPr>
        <w:t>“</w:t>
      </w:r>
      <w:r>
        <w:rPr>
          <w:rFonts w:hint="eastAsia" w:ascii="楷体_GB2312" w:eastAsia="楷体_GB2312" w:cs="楷体_GB2312"/>
          <w:bCs/>
          <w:kern w:val="0"/>
          <w:sz w:val="24"/>
        </w:rPr>
        <w:t>资产支持商业票据</w:t>
      </w:r>
      <w:r>
        <w:rPr>
          <w:rFonts w:eastAsia="楷体_GB2312"/>
          <w:bCs/>
          <w:kern w:val="0"/>
          <w:sz w:val="24"/>
        </w:rPr>
        <w:t>”</w:t>
      </w:r>
      <w:r>
        <w:rPr>
          <w:rFonts w:hint="eastAsia" w:ascii="楷体_GB2312" w:eastAsia="楷体_GB2312" w:cs="楷体_GB2312"/>
          <w:bCs/>
          <w:kern w:val="0"/>
          <w:sz w:val="24"/>
        </w:rPr>
        <w:t>在</w:t>
      </w:r>
      <w:r>
        <w:rPr>
          <w:rFonts w:eastAsia="楷体_GB2312"/>
          <w:bCs/>
          <w:kern w:val="0"/>
          <w:sz w:val="24"/>
        </w:rPr>
        <w:t>“</w:t>
      </w:r>
      <w:r>
        <w:rPr>
          <w:rFonts w:hint="eastAsia" w:ascii="楷体_GB2312" w:eastAsia="楷体_GB2312" w:cs="楷体_GB2312"/>
          <w:bCs/>
          <w:kern w:val="0"/>
          <w:sz w:val="24"/>
        </w:rPr>
        <w:t>到期日</w:t>
      </w:r>
      <w:r>
        <w:rPr>
          <w:rFonts w:eastAsia="楷体_GB2312"/>
          <w:bCs/>
          <w:kern w:val="0"/>
          <w:sz w:val="24"/>
        </w:rPr>
        <w:t>”</w:t>
      </w:r>
      <w:r>
        <w:rPr>
          <w:rFonts w:hint="eastAsia" w:ascii="楷体_GB2312" w:eastAsia="楷体_GB2312" w:cs="楷体_GB2312"/>
          <w:bCs/>
          <w:kern w:val="0"/>
          <w:sz w:val="24"/>
        </w:rPr>
        <w:t>根据</w:t>
      </w:r>
      <w:r>
        <w:rPr>
          <w:rFonts w:eastAsia="楷体_GB2312"/>
          <w:bCs/>
          <w:kern w:val="0"/>
          <w:sz w:val="24"/>
        </w:rPr>
        <w:t>“</w:t>
      </w:r>
      <w:r>
        <w:rPr>
          <w:rFonts w:hint="eastAsia" w:ascii="楷体_GB2312" w:eastAsia="楷体_GB2312" w:cs="楷体_GB2312"/>
          <w:bCs/>
          <w:kern w:val="0"/>
          <w:sz w:val="24"/>
        </w:rPr>
        <w:t>《信托合同》</w:t>
      </w:r>
      <w:r>
        <w:rPr>
          <w:rFonts w:eastAsia="楷体_GB2312"/>
          <w:bCs/>
          <w:kern w:val="0"/>
          <w:sz w:val="24"/>
        </w:rPr>
        <w:t>”</w:t>
      </w:r>
      <w:r>
        <w:rPr>
          <w:rFonts w:hint="eastAsia" w:ascii="楷体_GB2312" w:eastAsia="楷体_GB2312" w:cs="楷体_GB2312"/>
          <w:bCs/>
          <w:kern w:val="0"/>
          <w:sz w:val="24"/>
        </w:rPr>
        <w:t>第【</w:t>
      </w:r>
      <w:r>
        <w:rPr>
          <w:rFonts w:eastAsia="楷体_GB2312"/>
          <w:bCs/>
          <w:kern w:val="0"/>
          <w:sz w:val="24"/>
        </w:rPr>
        <w:t>9.3</w:t>
      </w:r>
      <w:r>
        <w:rPr>
          <w:rFonts w:hint="eastAsia" w:ascii="楷体_GB2312" w:eastAsia="楷体_GB2312" w:cs="楷体_GB2312"/>
          <w:bCs/>
          <w:kern w:val="0"/>
          <w:sz w:val="24"/>
        </w:rPr>
        <w:t>】款</w:t>
      </w:r>
      <w:r>
        <w:rPr>
          <w:rFonts w:hint="eastAsia" w:ascii="楷体_GB2312" w:eastAsia="楷体_GB2312" w:cs="楷体_GB2312"/>
          <w:kern w:val="0"/>
          <w:sz w:val="24"/>
        </w:rPr>
        <w:t>约定的分配顺序</w:t>
      </w:r>
      <w:r>
        <w:rPr>
          <w:rFonts w:hint="eastAsia" w:ascii="楷体_GB2312" w:eastAsia="楷体_GB2312" w:cs="楷体_GB2312"/>
          <w:bCs/>
          <w:kern w:val="0"/>
          <w:sz w:val="24"/>
        </w:rPr>
        <w:t>可获得分配的金额。</w:t>
      </w:r>
    </w:p>
    <w:p>
      <w:pPr>
        <w:pStyle w:val="13"/>
        <w:spacing w:beforeLines="50" w:afterLines="50" w:line="240" w:lineRule="atLeast"/>
        <w:ind w:left="850" w:leftChars="405" w:firstLine="1"/>
        <w:rPr>
          <w:rFonts w:eastAsia="楷体_GB2312"/>
          <w:b/>
          <w:i/>
          <w:color w:val="FF0000"/>
          <w:kern w:val="0"/>
          <w:u w:val="single"/>
        </w:rPr>
      </w:pPr>
      <w:r>
        <w:rPr>
          <w:rFonts w:hint="eastAsia" w:ascii="楷体_GB2312" w:eastAsia="楷体_GB2312" w:cs="楷体_GB2312"/>
          <w:b/>
          <w:i/>
          <w:color w:val="FF0000"/>
          <w:kern w:val="0"/>
          <w:u w:val="single"/>
        </w:rPr>
        <w:t>信托受益权转让对价</w:t>
      </w:r>
      <w:r>
        <w:rPr>
          <w:rFonts w:hint="default" w:ascii="楷体_GB2312" w:eastAsia="楷体_GB2312" w:cs="楷体_GB2312"/>
          <w:b/>
          <w:i/>
          <w:color w:val="FF0000"/>
          <w:kern w:val="0"/>
          <w:u w:val="single"/>
          <w:lang w:val="en-US"/>
        </w:rPr>
        <w:t>的计算</w:t>
      </w:r>
      <w:r>
        <w:rPr>
          <w:rFonts w:hint="eastAsia" w:ascii="楷体_GB2312" w:eastAsia="楷体_GB2312" w:cs="楷体_GB2312"/>
          <w:b/>
          <w:i/>
          <w:color w:val="FF0000"/>
          <w:kern w:val="0"/>
          <w:u w:val="single"/>
          <w:lang w:val="en-US" w:eastAsia="zh-CN"/>
        </w:rPr>
        <w:t>方法、相关定义和条款应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r>
        <w:rPr>
          <w:rFonts w:hint="eastAsia" w:ascii="楷体_GB2312" w:eastAsia="楷体_GB2312" w:cs="楷体_GB2312"/>
          <w:b/>
          <w:i/>
          <w:color w:val="FF0000"/>
          <w:kern w:val="0"/>
          <w:u w:val="single"/>
        </w:rPr>
        <w:t>。</w:t>
      </w:r>
    </w:p>
    <w:p>
      <w:pPr>
        <w:keepNext w:val="0"/>
        <w:keepLines w:val="0"/>
        <w:pageBreakBefore w:val="0"/>
        <w:widowControl w:val="0"/>
        <w:numPr>
          <w:ilvl w:val="1"/>
          <w:numId w:val="2"/>
        </w:numPr>
        <w:kinsoku/>
        <w:wordWrap/>
        <w:overflowPunct/>
        <w:topLinePunct w:val="0"/>
        <w:autoSpaceDE/>
        <w:autoSpaceDN/>
        <w:bidi w:val="0"/>
        <w:adjustRightInd w:val="0"/>
        <w:snapToGrid/>
        <w:spacing w:beforeLines="50" w:afterLines="50" w:line="240" w:lineRule="atLeast"/>
        <w:ind w:left="850" w:hanging="850"/>
        <w:textAlignment w:val="baseline"/>
        <w:rPr>
          <w:rFonts w:eastAsia="楷体_GB2312"/>
          <w:b/>
          <w:bCs/>
          <w:sz w:val="24"/>
        </w:rPr>
      </w:pPr>
      <w:r>
        <w:rPr>
          <w:rFonts w:hint="eastAsia" w:ascii="楷体_GB2312" w:eastAsia="楷体_GB2312" w:cs="楷体_GB2312"/>
          <w:b/>
          <w:bCs/>
          <w:sz w:val="24"/>
        </w:rPr>
        <w:t>滚动发行：</w:t>
      </w:r>
      <w:r>
        <w:rPr>
          <w:rFonts w:hint="eastAsia" w:ascii="楷体_GB2312" w:eastAsia="楷体_GB2312" w:cs="楷体_GB2312"/>
          <w:sz w:val="24"/>
        </w:rPr>
        <w:t>系指在</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内及</w:t>
      </w:r>
      <w:r>
        <w:rPr>
          <w:rFonts w:eastAsia="楷体_GB2312"/>
          <w:sz w:val="24"/>
        </w:rPr>
        <w:t>“</w:t>
      </w:r>
      <w:r>
        <w:rPr>
          <w:rFonts w:hint="eastAsia" w:ascii="楷体_GB2312" w:eastAsia="楷体_GB2312" w:cs="楷体_GB2312"/>
          <w:sz w:val="24"/>
        </w:rPr>
        <w:t>滚动发行提前终止事件</w:t>
      </w:r>
      <w:r>
        <w:rPr>
          <w:rFonts w:eastAsia="楷体_GB2312"/>
          <w:sz w:val="24"/>
        </w:rPr>
        <w:t>”</w:t>
      </w:r>
      <w:r>
        <w:rPr>
          <w:rFonts w:hint="eastAsia" w:ascii="楷体_GB2312" w:eastAsia="楷体_GB2312" w:cs="楷体_GB2312"/>
          <w:sz w:val="24"/>
        </w:rPr>
        <w:t>发生前，根据</w:t>
      </w:r>
      <w:r>
        <w:rPr>
          <w:rFonts w:eastAsia="楷体_GB2312"/>
          <w:sz w:val="24"/>
        </w:rPr>
        <w:t>“</w:t>
      </w:r>
      <w:r>
        <w:rPr>
          <w:rFonts w:hint="eastAsia" w:ascii="楷体_GB2312" w:eastAsia="楷体_GB2312" w:cs="楷体_GB2312"/>
          <w:sz w:val="24"/>
        </w:rPr>
        <w:t>发行文件</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交易文件</w:t>
      </w:r>
      <w:r>
        <w:rPr>
          <w:rFonts w:eastAsia="楷体_GB2312"/>
          <w:sz w:val="24"/>
        </w:rPr>
        <w:t>”</w:t>
      </w:r>
      <w:r>
        <w:rPr>
          <w:rFonts w:hint="eastAsia" w:ascii="楷体_GB2312" w:eastAsia="楷体_GB2312" w:cs="楷体_GB2312"/>
          <w:sz w:val="24"/>
        </w:rPr>
        <w:t>的约定，由</w:t>
      </w:r>
      <w:r>
        <w:rPr>
          <w:rFonts w:eastAsia="楷体_GB2312"/>
          <w:sz w:val="24"/>
        </w:rPr>
        <w:t>“</w:t>
      </w:r>
      <w:r>
        <w:rPr>
          <w:rFonts w:hint="eastAsia" w:ascii="楷体_GB2312" w:eastAsia="楷体_GB2312" w:cs="楷体_GB2312"/>
          <w:sz w:val="24"/>
        </w:rPr>
        <w:t>发行载体管理机构</w:t>
      </w:r>
      <w:r>
        <w:rPr>
          <w:rFonts w:eastAsia="楷体_GB2312"/>
          <w:sz w:val="24"/>
        </w:rPr>
        <w:t>”</w:t>
      </w:r>
      <w:r>
        <w:rPr>
          <w:rFonts w:hint="eastAsia" w:ascii="楷体_GB2312" w:eastAsia="楷体_GB2312" w:cs="楷体_GB2312"/>
          <w:sz w:val="24"/>
        </w:rPr>
        <w:t>发行后一期</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并兑付前一期</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，以及根据后一期</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发行文件</w:t>
      </w:r>
      <w:r>
        <w:rPr>
          <w:rFonts w:eastAsia="楷体_GB2312"/>
          <w:sz w:val="24"/>
        </w:rPr>
        <w:t>”</w:t>
      </w:r>
      <w:r>
        <w:rPr>
          <w:rFonts w:hint="eastAsia" w:ascii="楷体_GB2312" w:eastAsia="楷体_GB2312" w:cs="楷体_GB2312"/>
          <w:sz w:val="24"/>
        </w:rPr>
        <w:t>的约定进行</w:t>
      </w:r>
      <w:r>
        <w:rPr>
          <w:rFonts w:eastAsia="楷体_GB2312"/>
          <w:sz w:val="24"/>
        </w:rPr>
        <w:t>“</w:t>
      </w:r>
      <w:r>
        <w:rPr>
          <w:rFonts w:hint="eastAsia" w:ascii="楷体_GB2312" w:eastAsia="楷体_GB2312" w:cs="楷体_GB2312"/>
          <w:sz w:val="24"/>
        </w:rPr>
        <w:t>追加交付</w:t>
      </w:r>
      <w:r>
        <w:rPr>
          <w:rFonts w:eastAsia="楷体_GB2312"/>
          <w:sz w:val="24"/>
        </w:rPr>
        <w:t>”</w:t>
      </w:r>
      <w:r>
        <w:rPr>
          <w:rFonts w:hint="eastAsia" w:ascii="楷体_GB2312" w:eastAsia="楷体_GB2312" w:cs="楷体_GB2312"/>
          <w:sz w:val="24"/>
        </w:rPr>
        <w:t>（如需）。【滚动发行是</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的一项选择权。】</w:t>
      </w:r>
      <w:r>
        <w:rPr>
          <w:rFonts w:eastAsia="楷体_GB2312"/>
          <w:sz w:val="24"/>
        </w:rPr>
        <w:br w:type="textWrapping"/>
      </w:r>
      <w:r>
        <w:rPr>
          <w:rFonts w:hint="eastAsia" w:ascii="楷体_GB2312" w:hAnsi="Times New Roman" w:eastAsia="楷体_GB2312" w:cs="楷体_GB2312"/>
          <w:b/>
          <w:i/>
          <w:color w:val="FF0000"/>
          <w:kern w:val="0"/>
          <w:sz w:val="24"/>
          <w:szCs w:val="24"/>
          <w:u w:val="single"/>
          <w:lang w:val="en-US" w:eastAsia="zh-CN" w:bidi="ar-SA"/>
        </w:rPr>
        <w:t>权利归属应根据实际情况修改。</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资产支持商业票据：</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发起机构</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作为</w:t>
      </w:r>
      <w:r>
        <w:rPr>
          <w:rFonts w:eastAsia="楷体_GB2312"/>
          <w:bCs/>
          <w:sz w:val="24"/>
        </w:rPr>
        <w:t>“</w:t>
      </w:r>
      <w:r>
        <w:rPr>
          <w:rFonts w:hint="eastAsia" w:ascii="楷体_GB2312" w:eastAsia="楷体_GB2312" w:cs="楷体_GB2312"/>
          <w:bCs/>
          <w:sz w:val="24"/>
        </w:rPr>
        <w:t>发行载体管理机构</w:t>
      </w:r>
      <w:r>
        <w:rPr>
          <w:rFonts w:eastAsia="楷体_GB2312"/>
          <w:bCs/>
          <w:sz w:val="24"/>
        </w:rPr>
        <w:t>”</w:t>
      </w:r>
      <w:r>
        <w:rPr>
          <w:rFonts w:hint="eastAsia" w:ascii="楷体_GB2312" w:eastAsia="楷体_GB2312" w:cs="楷体_GB2312"/>
          <w:sz w:val="24"/>
        </w:rPr>
        <w:t>依据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【《募集说明书》</w:t>
      </w:r>
      <w:r>
        <w:rPr>
          <w:rFonts w:eastAsia="楷体_GB2312"/>
          <w:sz w:val="24"/>
        </w:rPr>
        <w:t>/</w:t>
      </w:r>
      <w:r>
        <w:rPr>
          <w:rFonts w:hint="eastAsia" w:ascii="楷体_GB2312" w:eastAsia="楷体_GB2312" w:cs="楷体_GB2312"/>
          <w:sz w:val="24"/>
        </w:rPr>
        <w:t>《定向募集说明书》</w:t>
      </w:r>
      <w:r>
        <w:rPr>
          <w:rFonts w:eastAsia="楷体_GB2312"/>
          <w:sz w:val="24"/>
        </w:rPr>
        <w:t>/</w:t>
      </w:r>
      <w:r>
        <w:rPr>
          <w:rFonts w:hint="eastAsia" w:ascii="楷体_GB2312" w:eastAsia="楷体_GB2312" w:cs="楷体_GB2312"/>
          <w:sz w:val="24"/>
        </w:rPr>
        <w:t>《定向发行协议》】</w:t>
      </w:r>
      <w:r>
        <w:rPr>
          <w:rFonts w:eastAsia="楷体_GB2312"/>
          <w:sz w:val="24"/>
        </w:rPr>
        <w:t>”</w:t>
      </w:r>
      <w:r>
        <w:rPr>
          <w:rFonts w:hint="eastAsia" w:ascii="楷体_GB2312" w:eastAsia="楷体_GB2312" w:cs="楷体_GB2312"/>
          <w:sz w:val="24"/>
        </w:rPr>
        <w:t>，通过</w:t>
      </w:r>
      <w:r>
        <w:rPr>
          <w:rFonts w:eastAsia="楷体_GB2312"/>
          <w:sz w:val="24"/>
        </w:rPr>
        <w:t>“</w:t>
      </w:r>
      <w:r>
        <w:rPr>
          <w:rFonts w:hint="eastAsia" w:ascii="楷体_GB2312" w:eastAsia="楷体_GB2312" w:cs="楷体_GB2312"/>
          <w:sz w:val="24"/>
        </w:rPr>
        <w:t>发行载体</w:t>
      </w:r>
      <w:r>
        <w:rPr>
          <w:rFonts w:eastAsia="楷体_GB2312"/>
          <w:sz w:val="24"/>
        </w:rPr>
        <w:t>”</w:t>
      </w:r>
      <w:r>
        <w:rPr>
          <w:rFonts w:hint="eastAsia" w:ascii="楷体_GB2312" w:eastAsia="楷体_GB2312" w:cs="楷体_GB2312"/>
          <w:sz w:val="24"/>
        </w:rPr>
        <w:t>向投资者发行的一种证券化融资工具，是证明</w:t>
      </w:r>
      <w:r>
        <w:rPr>
          <w:rFonts w:eastAsia="楷体_GB2312"/>
          <w:sz w:val="24"/>
        </w:rPr>
        <w:t>“</w:t>
      </w:r>
      <w:r>
        <w:rPr>
          <w:rFonts w:hint="eastAsia" w:ascii="楷体_GB2312" w:eastAsia="楷体_GB2312" w:cs="楷体_GB2312"/>
          <w:kern w:val="0"/>
          <w:sz w:val="24"/>
        </w:rPr>
        <w:t>资产支持商业票据</w:t>
      </w:r>
      <w:r>
        <w:rPr>
          <w:rFonts w:hint="eastAsia" w:ascii="楷体_GB2312" w:eastAsia="楷体_GB2312" w:cs="楷体_GB2312"/>
          <w:sz w:val="24"/>
        </w:rPr>
        <w:t>持有人</w:t>
      </w:r>
      <w:r>
        <w:rPr>
          <w:rFonts w:eastAsia="楷体_GB2312"/>
          <w:sz w:val="24"/>
        </w:rPr>
        <w:t>”</w:t>
      </w:r>
      <w:r>
        <w:rPr>
          <w:rFonts w:hint="eastAsia" w:ascii="楷体_GB2312" w:eastAsia="楷体_GB2312" w:cs="楷体_GB2312"/>
          <w:sz w:val="24"/>
        </w:rPr>
        <w:t>享有本</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项下相应</w:t>
      </w:r>
      <w:r>
        <w:rPr>
          <w:rFonts w:eastAsia="楷体_GB2312"/>
          <w:sz w:val="24"/>
        </w:rPr>
        <w:t>“</w:t>
      </w:r>
      <w:r>
        <w:rPr>
          <w:rFonts w:hint="eastAsia" w:ascii="楷体_GB2312" w:eastAsia="楷体_GB2312" w:cs="楷体_GB2312"/>
          <w:sz w:val="24"/>
        </w:rPr>
        <w:t>信托受益权</w:t>
      </w:r>
      <w:r>
        <w:rPr>
          <w:rFonts w:eastAsia="楷体_GB2312"/>
          <w:sz w:val="24"/>
        </w:rPr>
        <w:t>”</w:t>
      </w:r>
      <w:r>
        <w:rPr>
          <w:rFonts w:hint="eastAsia" w:ascii="楷体_GB2312" w:eastAsia="楷体_GB2312" w:cs="楷体_GB2312"/>
          <w:sz w:val="24"/>
        </w:rPr>
        <w:t>的权利凭证。</w:t>
      </w:r>
      <w:r>
        <w:rPr>
          <w:rFonts w:eastAsia="楷体_GB2312"/>
          <w:sz w:val="24"/>
        </w:rPr>
        <w:t>“</w:t>
      </w:r>
      <w:r>
        <w:rPr>
          <w:rFonts w:hint="eastAsia" w:ascii="楷体_GB2312" w:eastAsia="楷体_GB2312" w:cs="楷体_GB2312"/>
          <w:kern w:val="0"/>
          <w:sz w:val="24"/>
        </w:rPr>
        <w:t>资产支持商业票据</w:t>
      </w:r>
      <w:r>
        <w:rPr>
          <w:rFonts w:eastAsia="楷体_GB2312"/>
          <w:sz w:val="24"/>
        </w:rPr>
        <w:t>”</w:t>
      </w:r>
      <w:r>
        <w:rPr>
          <w:rFonts w:hint="eastAsia" w:ascii="楷体_GB2312" w:eastAsia="楷体_GB2312" w:cs="楷体_GB2312"/>
          <w:sz w:val="24"/>
        </w:rPr>
        <w:t>包括</w:t>
      </w:r>
      <w:r>
        <w:rPr>
          <w:rFonts w:eastAsia="楷体_GB2312"/>
          <w:sz w:val="24"/>
        </w:rPr>
        <w:t>“</w:t>
      </w:r>
      <w:r>
        <w:rPr>
          <w:rFonts w:hint="eastAsia" w:ascii="楷体_GB2312" w:eastAsia="楷体_GB2312" w:cs="楷体_GB2312"/>
          <w:sz w:val="24"/>
        </w:rPr>
        <w:t>优先级</w:t>
      </w:r>
      <w:r>
        <w:rPr>
          <w:rFonts w:hint="eastAsia" w:ascii="楷体_GB2312" w:eastAsia="楷体_GB2312" w:cs="楷体_GB2312"/>
          <w:kern w:val="0"/>
          <w:sz w:val="24"/>
        </w:rPr>
        <w:t>资产支持商业票据</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次级</w:t>
      </w:r>
      <w:r>
        <w:rPr>
          <w:rFonts w:hint="eastAsia" w:ascii="楷体_GB2312" w:eastAsia="楷体_GB2312" w:cs="楷体_GB2312"/>
          <w:kern w:val="0"/>
          <w:sz w:val="24"/>
        </w:rPr>
        <w:t>资产支持商业票据</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kern w:val="0"/>
          <w:sz w:val="24"/>
        </w:rPr>
        <w:t>资产支持</w:t>
      </w:r>
      <w:bookmarkStart w:id="12" w:name="_Hlk507250359"/>
      <w:r>
        <w:rPr>
          <w:rFonts w:hint="eastAsia" w:ascii="楷体_GB2312" w:eastAsia="楷体_GB2312" w:cs="楷体_GB2312"/>
          <w:kern w:val="0"/>
          <w:sz w:val="24"/>
        </w:rPr>
        <w:t>商业票据</w:t>
      </w:r>
      <w:bookmarkEnd w:id="12"/>
      <w:r>
        <w:rPr>
          <w:rFonts w:eastAsia="楷体_GB2312"/>
          <w:sz w:val="24"/>
        </w:rPr>
        <w:t>”</w:t>
      </w:r>
      <w:r>
        <w:rPr>
          <w:rFonts w:hint="eastAsia" w:ascii="楷体_GB2312" w:eastAsia="楷体_GB2312" w:cs="楷体_GB2312"/>
          <w:sz w:val="24"/>
        </w:rPr>
        <w:t>可以在</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内一期或多期发行，同一期项下的发行统称为第</w:t>
      </w:r>
      <w:r>
        <w:rPr>
          <w:rFonts w:eastAsia="楷体_GB2312"/>
          <w:sz w:val="24"/>
        </w:rPr>
        <w:t>N</w:t>
      </w:r>
      <w:r>
        <w:rPr>
          <w:rFonts w:hint="eastAsia" w:ascii="楷体_GB2312" w:eastAsia="楷体_GB2312" w:cs="楷体_GB2312"/>
          <w:sz w:val="24"/>
        </w:rPr>
        <w:t>期</w:t>
      </w:r>
      <w:r>
        <w:rPr>
          <w:rFonts w:eastAsia="楷体_GB2312"/>
          <w:sz w:val="24"/>
        </w:rPr>
        <w:t>“</w:t>
      </w:r>
      <w:r>
        <w:rPr>
          <w:rFonts w:hint="eastAsia" w:ascii="楷体_GB2312" w:eastAsia="楷体_GB2312" w:cs="楷体_GB2312"/>
          <w:kern w:val="0"/>
          <w:sz w:val="24"/>
        </w:rPr>
        <w:t>资产支持商业票据</w:t>
      </w:r>
      <w:r>
        <w:rPr>
          <w:rFonts w:eastAsia="楷体_GB2312"/>
          <w:sz w:val="24"/>
        </w:rPr>
        <w:t>”</w:t>
      </w:r>
      <w:r>
        <w:rPr>
          <w:rFonts w:hint="eastAsia" w:ascii="楷体_GB2312" w:eastAsia="楷体_GB2312" w:cs="楷体_GB2312"/>
          <w:sz w:val="24"/>
        </w:rPr>
        <w:t>。</w:t>
      </w:r>
    </w:p>
    <w:p>
      <w:pPr>
        <w:numPr>
          <w:ilvl w:val="-1"/>
          <w:numId w:val="0"/>
        </w:numPr>
        <w:adjustRightInd w:val="0"/>
        <w:spacing w:beforeLines="50" w:afterLines="50" w:line="240" w:lineRule="atLeast"/>
        <w:ind w:left="851" w:firstLine="0"/>
        <w:textAlignment w:val="baseline"/>
        <w:rPr>
          <w:rFonts w:eastAsia="楷体_GB2312"/>
          <w:sz w:val="24"/>
          <w:u w:val="single"/>
        </w:rPr>
      </w:pPr>
      <w:r>
        <w:rPr>
          <w:rFonts w:hint="eastAsia" w:ascii="楷体_GB2312" w:eastAsia="楷体_GB2312" w:cs="楷体_GB2312"/>
          <w:b/>
          <w:i/>
          <w:color w:val="FF0000"/>
          <w:sz w:val="24"/>
          <w:u w:val="single"/>
          <w:lang w:val="en-US" w:eastAsia="zh-CN"/>
        </w:rPr>
        <w:t>资产支持商业票据的分层、</w:t>
      </w:r>
      <w:r>
        <w:rPr>
          <w:rFonts w:hint="eastAsia" w:ascii="楷体_GB2312" w:eastAsia="楷体_GB2312" w:cs="楷体_GB2312"/>
          <w:b/>
          <w:i/>
          <w:color w:val="FF0000"/>
          <w:sz w:val="24"/>
          <w:u w:val="single"/>
        </w:rPr>
        <w:t>各层级的命名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，下同。</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优先级资产支持商业票据：</w:t>
      </w:r>
      <w:r>
        <w:rPr>
          <w:rFonts w:hint="eastAsia" w:ascii="楷体_GB2312" w:eastAsia="楷体_GB2312" w:cs="楷体_GB2312"/>
          <w:sz w:val="24"/>
        </w:rPr>
        <w:t>系指代表</w:t>
      </w:r>
      <w:r>
        <w:rPr>
          <w:rFonts w:eastAsia="楷体_GB2312"/>
          <w:sz w:val="24"/>
        </w:rPr>
        <w:t>“</w:t>
      </w:r>
      <w:r>
        <w:rPr>
          <w:rFonts w:hint="eastAsia" w:ascii="楷体_GB2312" w:eastAsia="楷体_GB2312" w:cs="楷体_GB2312"/>
          <w:sz w:val="24"/>
        </w:rPr>
        <w:t>优先级信托受益权</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最后一期优先级资产支持商业票据：</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项下的最后一期</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最后一期优先级资产支持商业票据</w:t>
      </w:r>
      <w:r>
        <w:rPr>
          <w:rFonts w:eastAsia="楷体_GB2312"/>
          <w:sz w:val="24"/>
        </w:rPr>
        <w:t>”</w:t>
      </w:r>
      <w:r>
        <w:rPr>
          <w:rFonts w:hint="eastAsia" w:ascii="楷体_GB2312" w:eastAsia="楷体_GB2312" w:cs="楷体_GB2312"/>
          <w:sz w:val="24"/>
        </w:rPr>
        <w:t>由以下</w:t>
      </w:r>
      <w:r>
        <w:rPr>
          <w:rFonts w:hint="eastAsia" w:ascii="楷体_GB2312" w:eastAsia="楷体_GB2312" w:cs="楷体_GB2312"/>
          <w:bCs/>
          <w:sz w:val="24"/>
        </w:rPr>
        <w:t>任一情形明确：</w:t>
      </w:r>
    </w:p>
    <w:p>
      <w:pPr>
        <w:numPr>
          <w:ilvl w:val="1"/>
          <w:numId w:val="6"/>
        </w:numPr>
        <w:autoSpaceDE w:val="0"/>
        <w:autoSpaceDN w:val="0"/>
        <w:adjustRightInd w:val="0"/>
        <w:spacing w:beforeLines="50" w:afterLines="50" w:line="240" w:lineRule="atLeast"/>
        <w:ind w:left="993" w:hanging="426"/>
        <w:rPr>
          <w:rFonts w:eastAsia="楷体_GB2312"/>
          <w:kern w:val="0"/>
          <w:sz w:val="24"/>
        </w:rPr>
      </w:pPr>
      <w:r>
        <w:rPr>
          <w:rFonts w:hint="eastAsia" w:ascii="楷体_GB2312" w:eastAsia="楷体_GB2312" w:cs="楷体_GB2312"/>
          <w:kern w:val="0"/>
          <w:sz w:val="24"/>
        </w:rPr>
        <w:t>若发生</w:t>
      </w:r>
      <w:r>
        <w:rPr>
          <w:rFonts w:eastAsia="楷体_GB2312"/>
          <w:kern w:val="0"/>
          <w:sz w:val="24"/>
        </w:rPr>
        <w:t>“</w:t>
      </w:r>
      <w:r>
        <w:rPr>
          <w:rFonts w:hint="eastAsia" w:ascii="楷体_GB2312" w:eastAsia="楷体_GB2312" w:cs="楷体_GB2312"/>
          <w:kern w:val="0"/>
          <w:sz w:val="24"/>
        </w:rPr>
        <w:t>滚动发行提前终止事件</w:t>
      </w:r>
      <w:r>
        <w:rPr>
          <w:rFonts w:eastAsia="楷体_GB2312"/>
          <w:kern w:val="0"/>
          <w:sz w:val="24"/>
        </w:rPr>
        <w:t>”</w:t>
      </w:r>
      <w:r>
        <w:rPr>
          <w:rFonts w:hint="eastAsia" w:ascii="楷体_GB2312" w:eastAsia="楷体_GB2312" w:cs="楷体_GB2312"/>
          <w:kern w:val="0"/>
          <w:sz w:val="24"/>
        </w:rPr>
        <w:t>，届时存续的</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即为</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w:t>
      </w:r>
    </w:p>
    <w:p>
      <w:pPr>
        <w:numPr>
          <w:ilvl w:val="1"/>
          <w:numId w:val="6"/>
        </w:numPr>
        <w:autoSpaceDE w:val="0"/>
        <w:autoSpaceDN w:val="0"/>
        <w:adjustRightInd w:val="0"/>
        <w:spacing w:beforeLines="50" w:afterLines="50" w:line="240" w:lineRule="atLeast"/>
        <w:ind w:left="993" w:hanging="426"/>
        <w:rPr>
          <w:rFonts w:eastAsia="楷体_GB2312"/>
          <w:kern w:val="0"/>
          <w:sz w:val="24"/>
        </w:rPr>
      </w:pPr>
      <w:r>
        <w:rPr>
          <w:rFonts w:hint="eastAsia" w:ascii="楷体_GB2312" w:eastAsia="楷体_GB2312" w:cs="楷体_GB2312"/>
          <w:kern w:val="0"/>
          <w:sz w:val="24"/>
        </w:rPr>
        <w:t>某一期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w:t>
      </w:r>
      <w:r>
        <w:rPr>
          <w:rFonts w:eastAsia="楷体_GB2312"/>
          <w:kern w:val="0"/>
          <w:sz w:val="24"/>
        </w:rPr>
        <w:t>“</w:t>
      </w:r>
      <w:r>
        <w:rPr>
          <w:rFonts w:hint="eastAsia" w:ascii="楷体_GB2312" w:eastAsia="楷体_GB2312" w:cs="楷体_GB2312"/>
          <w:kern w:val="0"/>
          <w:sz w:val="24"/>
        </w:rPr>
        <w:t>发行文件</w:t>
      </w:r>
      <w:r>
        <w:rPr>
          <w:rFonts w:eastAsia="楷体_GB2312"/>
          <w:kern w:val="0"/>
          <w:sz w:val="24"/>
        </w:rPr>
        <w:t>”</w:t>
      </w:r>
      <w:r>
        <w:rPr>
          <w:rFonts w:hint="eastAsia" w:ascii="楷体_GB2312" w:eastAsia="楷体_GB2312" w:cs="楷体_GB2312"/>
          <w:kern w:val="0"/>
          <w:sz w:val="24"/>
        </w:rPr>
        <w:t>中明确该期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到期后将不再</w:t>
      </w:r>
      <w:r>
        <w:rPr>
          <w:rFonts w:eastAsia="楷体_GB2312"/>
          <w:kern w:val="0"/>
          <w:sz w:val="24"/>
        </w:rPr>
        <w:t>“</w:t>
      </w:r>
      <w:r>
        <w:rPr>
          <w:rFonts w:hint="eastAsia" w:ascii="楷体_GB2312" w:eastAsia="楷体_GB2312" w:cs="楷体_GB2312"/>
          <w:kern w:val="0"/>
          <w:sz w:val="24"/>
        </w:rPr>
        <w:t>滚动发行</w:t>
      </w:r>
      <w:r>
        <w:rPr>
          <w:rFonts w:eastAsia="楷体_GB2312"/>
          <w:kern w:val="0"/>
          <w:sz w:val="24"/>
        </w:rPr>
        <w:t>”</w:t>
      </w:r>
      <w:r>
        <w:rPr>
          <w:rFonts w:hint="eastAsia" w:ascii="楷体_GB2312" w:eastAsia="楷体_GB2312" w:cs="楷体_GB2312"/>
          <w:kern w:val="0"/>
          <w:sz w:val="24"/>
        </w:rPr>
        <w:t>，该期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即为</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。本项与第</w:t>
      </w:r>
      <w:r>
        <w:rPr>
          <w:rFonts w:eastAsia="楷体_GB2312"/>
          <w:kern w:val="0"/>
          <w:sz w:val="24"/>
        </w:rPr>
        <w:t>(a)</w:t>
      </w:r>
      <w:r>
        <w:rPr>
          <w:rFonts w:hint="eastAsia" w:ascii="楷体_GB2312" w:eastAsia="楷体_GB2312" w:cs="楷体_GB2312"/>
          <w:kern w:val="0"/>
          <w:sz w:val="24"/>
        </w:rPr>
        <w:t>项发生矛盾的，以第</w:t>
      </w:r>
      <w:r>
        <w:rPr>
          <w:rFonts w:eastAsia="楷体_GB2312"/>
          <w:kern w:val="0"/>
          <w:sz w:val="24"/>
        </w:rPr>
        <w:t>(a)</w:t>
      </w:r>
      <w:r>
        <w:rPr>
          <w:rFonts w:hint="eastAsia" w:ascii="楷体_GB2312" w:eastAsia="楷体_GB2312" w:cs="楷体_GB2312"/>
          <w:kern w:val="0"/>
          <w:sz w:val="24"/>
        </w:rPr>
        <w:t>项为准；</w:t>
      </w:r>
    </w:p>
    <w:p>
      <w:pPr>
        <w:numPr>
          <w:ilvl w:val="1"/>
          <w:numId w:val="6"/>
        </w:numPr>
        <w:autoSpaceDE w:val="0"/>
        <w:autoSpaceDN w:val="0"/>
        <w:adjustRightInd w:val="0"/>
        <w:spacing w:beforeLines="50" w:afterLines="50" w:line="240" w:lineRule="atLeast"/>
        <w:ind w:left="993" w:hanging="426"/>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7.7.2.2</w:t>
      </w:r>
      <w:r>
        <w:rPr>
          <w:rFonts w:hint="eastAsia" w:ascii="楷体_GB2312" w:eastAsia="楷体_GB2312" w:cs="楷体_GB2312"/>
          <w:kern w:val="0"/>
          <w:sz w:val="24"/>
        </w:rPr>
        <w:t>】款的约定，书面通知</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选择不</w:t>
      </w:r>
      <w:r>
        <w:rPr>
          <w:rFonts w:eastAsia="楷体_GB2312"/>
          <w:kern w:val="0"/>
          <w:sz w:val="24"/>
        </w:rPr>
        <w:t>“</w:t>
      </w:r>
      <w:r>
        <w:rPr>
          <w:rFonts w:hint="eastAsia" w:ascii="楷体_GB2312" w:eastAsia="楷体_GB2312" w:cs="楷体_GB2312"/>
          <w:kern w:val="0"/>
          <w:sz w:val="24"/>
        </w:rPr>
        <w:t>滚动发行</w:t>
      </w:r>
      <w:r>
        <w:rPr>
          <w:rFonts w:eastAsia="楷体_GB2312"/>
          <w:kern w:val="0"/>
          <w:sz w:val="24"/>
        </w:rPr>
        <w:t>”</w:t>
      </w:r>
      <w:r>
        <w:rPr>
          <w:rFonts w:hint="eastAsia" w:ascii="楷体_GB2312" w:eastAsia="楷体_GB2312" w:cs="楷体_GB2312"/>
          <w:kern w:val="0"/>
          <w:sz w:val="24"/>
        </w:rPr>
        <w:t>新一期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的，届时存续的</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即为</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（委托人根据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7.7.2.3</w:t>
      </w:r>
      <w:r>
        <w:rPr>
          <w:rFonts w:hint="eastAsia" w:ascii="楷体_GB2312" w:eastAsia="楷体_GB2312" w:cs="楷体_GB2312"/>
          <w:kern w:val="0"/>
          <w:sz w:val="24"/>
        </w:rPr>
        <w:t>】款的约定受让全部</w:t>
      </w:r>
      <w:r>
        <w:rPr>
          <w:rFonts w:eastAsia="楷体_GB2312"/>
          <w:kern w:val="0"/>
          <w:sz w:val="24"/>
        </w:rPr>
        <w:t>“</w:t>
      </w:r>
      <w:r>
        <w:rPr>
          <w:rFonts w:hint="eastAsia" w:ascii="楷体_GB2312" w:eastAsia="楷体_GB2312" w:cs="楷体_GB2312"/>
          <w:kern w:val="0"/>
          <w:sz w:val="24"/>
        </w:rPr>
        <w:t>优先级信托受益权</w:t>
      </w:r>
      <w:r>
        <w:rPr>
          <w:rFonts w:eastAsia="楷体_GB2312"/>
          <w:kern w:val="0"/>
          <w:sz w:val="24"/>
        </w:rPr>
        <w:t>”</w:t>
      </w:r>
      <w:r>
        <w:rPr>
          <w:rFonts w:hint="eastAsia" w:ascii="楷体_GB2312" w:eastAsia="楷体_GB2312" w:cs="楷体_GB2312"/>
          <w:kern w:val="0"/>
          <w:sz w:val="24"/>
        </w:rPr>
        <w:t>的情形除外）；</w:t>
      </w:r>
    </w:p>
    <w:p>
      <w:pPr>
        <w:numPr>
          <w:ilvl w:val="1"/>
          <w:numId w:val="6"/>
        </w:numPr>
        <w:autoSpaceDE w:val="0"/>
        <w:autoSpaceDN w:val="0"/>
        <w:adjustRightInd w:val="0"/>
        <w:spacing w:beforeLines="50" w:afterLines="50" w:line="240" w:lineRule="atLeast"/>
        <w:ind w:left="993" w:hanging="426"/>
        <w:rPr>
          <w:rFonts w:eastAsia="楷体_GB2312"/>
          <w:kern w:val="0"/>
          <w:sz w:val="24"/>
        </w:rPr>
      </w:pPr>
      <w:r>
        <w:rPr>
          <w:rFonts w:hint="eastAsia" w:ascii="楷体_GB2312" w:eastAsia="楷体_GB2312" w:cs="楷体_GB2312"/>
          <w:kern w:val="0"/>
          <w:sz w:val="24"/>
        </w:rPr>
        <w:t>某一期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w:t>
      </w:r>
      <w:r>
        <w:rPr>
          <w:rFonts w:eastAsia="楷体_GB2312"/>
          <w:kern w:val="0"/>
          <w:sz w:val="24"/>
        </w:rPr>
        <w:t>“</w:t>
      </w:r>
      <w:r>
        <w:rPr>
          <w:rFonts w:hint="eastAsia" w:ascii="楷体_GB2312" w:eastAsia="楷体_GB2312" w:cs="楷体_GB2312"/>
          <w:kern w:val="0"/>
          <w:sz w:val="24"/>
        </w:rPr>
        <w:t>预期到期日</w:t>
      </w:r>
      <w:r>
        <w:rPr>
          <w:rFonts w:eastAsia="楷体_GB2312"/>
          <w:kern w:val="0"/>
          <w:sz w:val="24"/>
        </w:rPr>
        <w:t>”</w:t>
      </w:r>
      <w:r>
        <w:rPr>
          <w:rFonts w:hint="eastAsia" w:ascii="楷体_GB2312" w:eastAsia="楷体_GB2312" w:cs="楷体_GB2312"/>
          <w:kern w:val="0"/>
          <w:sz w:val="24"/>
        </w:rPr>
        <w:t>为</w:t>
      </w:r>
      <w:r>
        <w:rPr>
          <w:rFonts w:eastAsia="楷体_GB2312"/>
          <w:kern w:val="0"/>
          <w:sz w:val="24"/>
        </w:rPr>
        <w:t>“</w:t>
      </w:r>
      <w:r>
        <w:rPr>
          <w:rFonts w:hint="eastAsia" w:ascii="楷体_GB2312" w:eastAsia="楷体_GB2312" w:cs="楷体_GB2312"/>
          <w:kern w:val="0"/>
          <w:sz w:val="24"/>
        </w:rPr>
        <w:t>信托终止日</w:t>
      </w:r>
      <w:r>
        <w:rPr>
          <w:rFonts w:eastAsia="楷体_GB2312"/>
          <w:kern w:val="0"/>
          <w:sz w:val="24"/>
        </w:rPr>
        <w:t>”</w:t>
      </w:r>
      <w:r>
        <w:rPr>
          <w:rFonts w:hint="eastAsia" w:ascii="楷体_GB2312" w:eastAsia="楷体_GB2312" w:cs="楷体_GB2312"/>
          <w:kern w:val="0"/>
          <w:sz w:val="24"/>
        </w:rPr>
        <w:t>的，该期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即为</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w:t>
      </w:r>
    </w:p>
    <w:p>
      <w:pPr>
        <w:numPr>
          <w:ilvl w:val="1"/>
          <w:numId w:val="6"/>
        </w:numPr>
        <w:autoSpaceDE w:val="0"/>
        <w:autoSpaceDN w:val="0"/>
        <w:adjustRightInd w:val="0"/>
        <w:spacing w:beforeLines="50" w:afterLines="50" w:line="240" w:lineRule="atLeast"/>
        <w:ind w:left="993" w:hanging="426"/>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的约定受让全部</w:t>
      </w:r>
      <w:r>
        <w:rPr>
          <w:rFonts w:eastAsia="楷体_GB2312"/>
          <w:kern w:val="0"/>
          <w:sz w:val="24"/>
        </w:rPr>
        <w:t>“</w:t>
      </w:r>
      <w:r>
        <w:rPr>
          <w:rFonts w:hint="eastAsia" w:ascii="楷体_GB2312" w:eastAsia="楷体_GB2312" w:cs="楷体_GB2312"/>
          <w:kern w:val="0"/>
          <w:sz w:val="24"/>
        </w:rPr>
        <w:t>优先级信托受益权</w:t>
      </w:r>
      <w:r>
        <w:rPr>
          <w:rFonts w:eastAsia="楷体_GB2312"/>
          <w:kern w:val="0"/>
          <w:sz w:val="24"/>
        </w:rPr>
        <w:t>”</w:t>
      </w:r>
      <w:r>
        <w:rPr>
          <w:rFonts w:hint="eastAsia" w:ascii="楷体_GB2312" w:eastAsia="楷体_GB2312" w:cs="楷体_GB2312"/>
          <w:kern w:val="0"/>
          <w:sz w:val="24"/>
        </w:rPr>
        <w:t>并成为</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项下唯一</w:t>
      </w:r>
      <w:r>
        <w:rPr>
          <w:rFonts w:eastAsia="楷体_GB2312"/>
          <w:kern w:val="0"/>
          <w:sz w:val="24"/>
        </w:rPr>
        <w:t>“</w:t>
      </w:r>
      <w:r>
        <w:rPr>
          <w:rFonts w:hint="eastAsia" w:ascii="楷体_GB2312" w:eastAsia="楷体_GB2312" w:cs="楷体_GB2312"/>
          <w:kern w:val="0"/>
          <w:sz w:val="24"/>
        </w:rPr>
        <w:t>受益人</w:t>
      </w:r>
      <w:r>
        <w:rPr>
          <w:rFonts w:eastAsia="楷体_GB2312"/>
          <w:kern w:val="0"/>
          <w:sz w:val="24"/>
        </w:rPr>
        <w:t>”</w:t>
      </w:r>
      <w:r>
        <w:rPr>
          <w:rFonts w:hint="eastAsia" w:ascii="楷体_GB2312" w:eastAsia="楷体_GB2312" w:cs="楷体_GB2312"/>
          <w:kern w:val="0"/>
          <w:sz w:val="24"/>
        </w:rPr>
        <w:t>后，</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决定终止</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的，已发行的最近一期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即为</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w:t>
      </w:r>
    </w:p>
    <w:p>
      <w:pPr>
        <w:pStyle w:val="13"/>
        <w:spacing w:beforeLines="50" w:afterLines="50" w:line="240" w:lineRule="atLeast"/>
        <w:ind w:left="851"/>
        <w:rPr>
          <w:rFonts w:eastAsia="楷体_GB2312"/>
          <w:b/>
          <w:i/>
          <w:color w:val="FF0000"/>
          <w:kern w:val="0"/>
          <w:u w:val="single"/>
        </w:rPr>
      </w:pPr>
      <w:r>
        <w:rPr>
          <w:rFonts w:hint="eastAsia" w:ascii="楷体_GB2312" w:eastAsia="楷体_GB2312" w:cs="楷体_GB2312"/>
          <w:b/>
          <w:i/>
          <w:color w:val="FF0000"/>
          <w:kern w:val="0"/>
          <w:u w:val="single"/>
          <w:lang w:val="en-US" w:eastAsia="zh-CN"/>
        </w:rPr>
        <w:t>是否约定</w:t>
      </w:r>
      <w:r>
        <w:rPr>
          <w:rFonts w:hint="eastAsia" w:ascii="楷体_GB2312" w:eastAsia="楷体_GB2312" w:cs="楷体_GB2312"/>
          <w:b/>
          <w:i/>
          <w:color w:val="FF0000"/>
          <w:kern w:val="0"/>
          <w:u w:val="single"/>
        </w:rPr>
        <w:t>最后一期优先级资产支持商业票据</w:t>
      </w:r>
      <w:r>
        <w:rPr>
          <w:rFonts w:hint="eastAsia" w:ascii="楷体_GB2312" w:eastAsia="楷体_GB2312" w:cs="楷体_GB2312"/>
          <w:b/>
          <w:i/>
          <w:color w:val="FF0000"/>
          <w:kern w:val="0"/>
          <w:u w:val="single"/>
          <w:lang w:val="en-US" w:eastAsia="zh-CN"/>
        </w:rPr>
        <w:t>及其</w:t>
      </w:r>
      <w:r>
        <w:rPr>
          <w:rFonts w:hint="eastAsia" w:ascii="楷体_GB2312" w:eastAsia="楷体_GB2312" w:cs="楷体_GB2312"/>
          <w:b/>
          <w:i/>
          <w:color w:val="FF0000"/>
          <w:kern w:val="0"/>
          <w:u w:val="single"/>
        </w:rPr>
        <w:t>确定原则</w:t>
      </w:r>
      <w:r>
        <w:rPr>
          <w:rFonts w:hint="eastAsia" w:ascii="楷体_GB2312" w:eastAsia="楷体_GB2312" w:cs="楷体_GB2312"/>
          <w:b/>
          <w:i/>
          <w:color w:val="FF0000"/>
          <w:kern w:val="0"/>
          <w:u w:val="single"/>
          <w:lang w:val="en-US" w:eastAsia="zh-CN"/>
        </w:rPr>
        <w:t>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r>
        <w:rPr>
          <w:rFonts w:hint="eastAsia" w:ascii="楷体_GB2312" w:eastAsia="楷体_GB2312" w:cs="楷体_GB2312"/>
          <w:b/>
          <w:i/>
          <w:color w:val="FF0000"/>
          <w:kern w:val="0"/>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次级资产支持商业票据：</w:t>
      </w:r>
      <w:r>
        <w:rPr>
          <w:rFonts w:hint="eastAsia" w:ascii="楷体_GB2312" w:eastAsia="楷体_GB2312" w:cs="楷体_GB2312"/>
          <w:kern w:val="0"/>
          <w:sz w:val="24"/>
        </w:rPr>
        <w:t>系指</w:t>
      </w:r>
      <w:r>
        <w:rPr>
          <w:rFonts w:hint="eastAsia" w:ascii="楷体_GB2312" w:eastAsia="楷体_GB2312" w:cs="楷体_GB2312"/>
          <w:sz w:val="24"/>
        </w:rPr>
        <w:t>代表</w:t>
      </w:r>
      <w:r>
        <w:rPr>
          <w:rFonts w:eastAsia="楷体_GB2312"/>
          <w:kern w:val="0"/>
          <w:sz w:val="24"/>
        </w:rPr>
        <w:t>“</w:t>
      </w:r>
      <w:r>
        <w:rPr>
          <w:rFonts w:hint="eastAsia" w:ascii="楷体_GB2312" w:eastAsia="楷体_GB2312" w:cs="楷体_GB2312"/>
          <w:kern w:val="0"/>
          <w:sz w:val="24"/>
        </w:rPr>
        <w:t>次级信托受益权</w:t>
      </w:r>
      <w:r>
        <w:rPr>
          <w:rFonts w:eastAsia="楷体_GB2312"/>
          <w:kern w:val="0"/>
          <w:sz w:val="24"/>
        </w:rPr>
        <w:t>”</w:t>
      </w:r>
      <w:r>
        <w:rPr>
          <w:rFonts w:hint="eastAsia" w:ascii="楷体_GB2312" w:eastAsia="楷体_GB2312" w:cs="楷体_GB2312"/>
          <w:kern w:val="0"/>
          <w:sz w:val="24"/>
        </w:rPr>
        <w:t>的</w:t>
      </w:r>
      <w:r>
        <w:rPr>
          <w:rFonts w:eastAsia="楷体_GB2312"/>
          <w:kern w:val="0"/>
          <w:sz w:val="24"/>
        </w:rPr>
        <w:t>“</w:t>
      </w:r>
      <w:r>
        <w:rPr>
          <w:rFonts w:hint="eastAsia" w:ascii="楷体_GB2312" w:eastAsia="楷体_GB2312" w:cs="楷体_GB2312"/>
          <w:kern w:val="0"/>
          <w:sz w:val="24"/>
        </w:rPr>
        <w:t>资产支持商业票据</w:t>
      </w:r>
      <w:r>
        <w:rPr>
          <w:rFonts w:eastAsia="楷体_GB2312"/>
          <w:kern w:val="0"/>
          <w:sz w:val="24"/>
        </w:rPr>
        <w:t>”</w:t>
      </w:r>
      <w:r>
        <w:rPr>
          <w:rFonts w:hint="eastAsia" w:ascii="楷体_GB2312" w:eastAsia="楷体_GB2312" w:cs="楷体_GB2312"/>
          <w:kern w:val="0"/>
          <w:sz w:val="24"/>
        </w:rPr>
        <w:t>。</w:t>
      </w:r>
    </w:p>
    <w:p>
      <w:pPr>
        <w:numPr>
          <w:ilvl w:val="1"/>
          <w:numId w:val="2"/>
        </w:numPr>
        <w:adjustRightInd w:val="0"/>
        <w:spacing w:beforeLines="50" w:afterLines="50" w:line="240" w:lineRule="atLeast"/>
        <w:ind w:left="851" w:hanging="851"/>
        <w:textAlignment w:val="baseline"/>
        <w:rPr>
          <w:rFonts w:eastAsia="楷体_GB2312"/>
          <w:szCs w:val="21"/>
        </w:rPr>
      </w:pPr>
      <w:r>
        <w:rPr>
          <w:rFonts w:hint="eastAsia" w:ascii="楷体_GB2312" w:eastAsia="楷体_GB2312" w:cs="楷体_GB2312"/>
          <w:b/>
          <w:bCs/>
          <w:sz w:val="24"/>
        </w:rPr>
        <w:t>未偿本金余额：</w:t>
      </w:r>
      <w:r>
        <w:rPr>
          <w:rFonts w:hint="eastAsia" w:ascii="楷体_GB2312" w:eastAsia="楷体_GB2312" w:cs="楷体_GB2312"/>
          <w:kern w:val="0"/>
          <w:sz w:val="24"/>
        </w:rPr>
        <w:t>就某一日期各期各级</w:t>
      </w:r>
      <w:r>
        <w:rPr>
          <w:rFonts w:eastAsia="楷体_GB2312"/>
          <w:kern w:val="0"/>
          <w:sz w:val="24"/>
        </w:rPr>
        <w:t>“</w:t>
      </w:r>
      <w:r>
        <w:rPr>
          <w:rFonts w:hint="eastAsia" w:ascii="楷体_GB2312" w:eastAsia="楷体_GB2312" w:cs="楷体_GB2312"/>
          <w:kern w:val="0"/>
          <w:sz w:val="24"/>
        </w:rPr>
        <w:t>资产支持商业票据</w:t>
      </w:r>
      <w:r>
        <w:rPr>
          <w:rFonts w:eastAsia="楷体_GB2312"/>
          <w:kern w:val="0"/>
          <w:sz w:val="24"/>
        </w:rPr>
        <w:t>”</w:t>
      </w:r>
      <w:r>
        <w:rPr>
          <w:rFonts w:hint="eastAsia" w:ascii="楷体_GB2312" w:eastAsia="楷体_GB2312" w:cs="楷体_GB2312"/>
          <w:kern w:val="0"/>
          <w:sz w:val="24"/>
        </w:rPr>
        <w:t>而言，系指</w:t>
      </w:r>
      <w:r>
        <w:rPr>
          <w:rFonts w:eastAsia="楷体_GB2312"/>
          <w:kern w:val="0"/>
          <w:sz w:val="24"/>
        </w:rPr>
        <w:t>A-B</w:t>
      </w:r>
      <w:r>
        <w:rPr>
          <w:rFonts w:hint="eastAsia" w:ascii="楷体_GB2312" w:eastAsia="楷体_GB2312" w:cs="楷体_GB2312"/>
          <w:kern w:val="0"/>
          <w:sz w:val="24"/>
        </w:rPr>
        <w:t>：</w:t>
      </w:r>
      <w:r>
        <w:rPr>
          <w:rFonts w:eastAsia="楷体_GB2312"/>
          <w:kern w:val="0"/>
          <w:sz w:val="24"/>
        </w:rPr>
        <w:t>A</w:t>
      </w:r>
      <w:r>
        <w:rPr>
          <w:rFonts w:hint="eastAsia" w:ascii="楷体_GB2312" w:eastAsia="楷体_GB2312" w:cs="楷体_GB2312"/>
          <w:kern w:val="0"/>
          <w:sz w:val="24"/>
        </w:rPr>
        <w:t>指该期该级</w:t>
      </w:r>
      <w:r>
        <w:rPr>
          <w:rFonts w:eastAsia="楷体_GB2312"/>
          <w:kern w:val="0"/>
          <w:sz w:val="24"/>
        </w:rPr>
        <w:t>“</w:t>
      </w:r>
      <w:r>
        <w:rPr>
          <w:rFonts w:hint="eastAsia" w:ascii="楷体_GB2312" w:eastAsia="楷体_GB2312" w:cs="楷体_GB2312"/>
          <w:kern w:val="0"/>
          <w:sz w:val="24"/>
        </w:rPr>
        <w:t>资产支持商业票据</w:t>
      </w:r>
      <w:r>
        <w:rPr>
          <w:rFonts w:eastAsia="楷体_GB2312"/>
          <w:kern w:val="0"/>
          <w:sz w:val="24"/>
        </w:rPr>
        <w:t>”</w:t>
      </w:r>
      <w:r>
        <w:rPr>
          <w:rFonts w:hint="eastAsia" w:ascii="楷体_GB2312" w:eastAsia="楷体_GB2312" w:cs="楷体_GB2312"/>
          <w:kern w:val="0"/>
          <w:sz w:val="24"/>
        </w:rPr>
        <w:t>在其对应的</w:t>
      </w:r>
      <w:r>
        <w:rPr>
          <w:rFonts w:eastAsia="楷体_GB2312"/>
          <w:kern w:val="0"/>
          <w:sz w:val="24"/>
        </w:rPr>
        <w:t>“</w:t>
      </w:r>
      <w:r>
        <w:rPr>
          <w:rFonts w:hint="eastAsia" w:ascii="楷体_GB2312" w:eastAsia="楷体_GB2312" w:cs="楷体_GB2312"/>
          <w:bCs/>
          <w:sz w:val="24"/>
        </w:rPr>
        <w:t>起息日</w:t>
      </w:r>
      <w:r>
        <w:rPr>
          <w:rFonts w:eastAsia="楷体_GB2312"/>
          <w:kern w:val="0"/>
          <w:sz w:val="24"/>
        </w:rPr>
        <w:t>”</w:t>
      </w:r>
      <w:r>
        <w:rPr>
          <w:rFonts w:hint="eastAsia" w:ascii="楷体_GB2312" w:eastAsia="楷体_GB2312" w:cs="楷体_GB2312"/>
          <w:kern w:val="0"/>
          <w:sz w:val="24"/>
        </w:rPr>
        <w:t>的本金余额；</w:t>
      </w:r>
      <w:r>
        <w:rPr>
          <w:rFonts w:eastAsia="楷体_GB2312"/>
          <w:kern w:val="0"/>
          <w:sz w:val="24"/>
        </w:rPr>
        <w:t>B</w:t>
      </w:r>
      <w:r>
        <w:rPr>
          <w:rFonts w:hint="eastAsia" w:ascii="楷体_GB2312" w:eastAsia="楷体_GB2312" w:cs="楷体_GB2312"/>
          <w:kern w:val="0"/>
          <w:sz w:val="24"/>
        </w:rPr>
        <w:t>指自</w:t>
      </w:r>
      <w:bookmarkStart w:id="13" w:name="_Toc173860437"/>
      <w:r>
        <w:rPr>
          <w:rFonts w:eastAsia="楷体_GB2312"/>
          <w:kern w:val="0"/>
          <w:sz w:val="24"/>
        </w:rPr>
        <w:t>“</w:t>
      </w:r>
      <w:bookmarkEnd w:id="13"/>
      <w:r>
        <w:rPr>
          <w:rFonts w:hint="eastAsia" w:ascii="楷体_GB2312" w:eastAsia="楷体_GB2312" w:cs="楷体_GB2312"/>
          <w:bCs/>
          <w:sz w:val="24"/>
        </w:rPr>
        <w:t>起息日</w:t>
      </w:r>
      <w:r>
        <w:rPr>
          <w:rFonts w:eastAsia="楷体_GB2312"/>
          <w:kern w:val="0"/>
          <w:sz w:val="24"/>
        </w:rPr>
        <w:t>”</w:t>
      </w:r>
      <w:r>
        <w:rPr>
          <w:rFonts w:hint="eastAsia" w:ascii="楷体_GB2312" w:eastAsia="楷体_GB2312" w:cs="楷体_GB2312"/>
          <w:kern w:val="0"/>
          <w:sz w:val="24"/>
        </w:rPr>
        <w:t>之后起至该日之前，有关该期该级</w:t>
      </w:r>
      <w:r>
        <w:rPr>
          <w:rFonts w:eastAsia="楷体_GB2312"/>
          <w:kern w:val="0"/>
          <w:sz w:val="24"/>
        </w:rPr>
        <w:t>“</w:t>
      </w:r>
      <w:r>
        <w:rPr>
          <w:rFonts w:hint="eastAsia" w:ascii="楷体_GB2312" w:eastAsia="楷体_GB2312" w:cs="楷体_GB2312"/>
          <w:kern w:val="0"/>
          <w:sz w:val="24"/>
        </w:rPr>
        <w:t>资产支持商业票据</w:t>
      </w:r>
      <w:r>
        <w:rPr>
          <w:rFonts w:eastAsia="楷体_GB2312"/>
          <w:kern w:val="0"/>
          <w:sz w:val="24"/>
        </w:rPr>
        <w:t>”</w:t>
      </w:r>
      <w:r>
        <w:rPr>
          <w:rFonts w:hint="eastAsia" w:ascii="楷体_GB2312" w:eastAsia="楷体_GB2312" w:cs="楷体_GB2312"/>
          <w:kern w:val="0"/>
          <w:sz w:val="24"/>
        </w:rPr>
        <w:t>的所有已经偿还的本金。</w:t>
      </w:r>
    </w:p>
    <w:p>
      <w:pPr>
        <w:pStyle w:val="13"/>
        <w:spacing w:beforeLines="50" w:afterLines="50" w:line="240" w:lineRule="atLeast"/>
        <w:outlineLvl w:val="2"/>
        <w:rPr>
          <w:rFonts w:hint="eastAsia" w:ascii="楷体_GB2312" w:eastAsia="楷体_GB2312" w:cs="楷体_GB2312"/>
          <w:b/>
        </w:rPr>
      </w:pPr>
      <w:r>
        <w:rPr>
          <w:rFonts w:eastAsia="楷体_GB2312"/>
          <w:b/>
        </w:rPr>
        <w:t>4</w:t>
      </w:r>
      <w:r>
        <w:rPr>
          <w:rFonts w:hint="eastAsia" w:ascii="楷体_GB2312" w:eastAsia="楷体_GB2312" w:cs="楷体_GB2312"/>
          <w:b/>
        </w:rPr>
        <w:t>、账户信息</w:t>
      </w:r>
    </w:p>
    <w:p>
      <w:pPr>
        <w:pStyle w:val="13"/>
        <w:spacing w:beforeLines="50" w:afterLines="50" w:line="240" w:lineRule="atLeast"/>
        <w:ind w:left="0" w:leftChars="0" w:firstLine="0"/>
        <w:outlineLvl w:val="9"/>
        <w:rPr>
          <w:rFonts w:hint="eastAsia" w:ascii="楷体_GB2312" w:eastAsia="楷体_GB2312" w:cs="楷体_GB2312"/>
          <w:b/>
          <w:u w:val="single"/>
        </w:rPr>
      </w:pPr>
      <w:r>
        <w:rPr>
          <w:rFonts w:hint="eastAsia" w:ascii="楷体_GB2312" w:eastAsia="楷体_GB2312" w:cs="楷体_GB2312"/>
          <w:b/>
          <w:i/>
          <w:color w:val="FF0000"/>
          <w:kern w:val="0"/>
          <w:u w:val="single"/>
          <w:lang w:val="en-US" w:eastAsia="zh-CN"/>
        </w:rPr>
        <w:t>资产支持商业票据相关账户的设置应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发行收入缴款账户：</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指定的用于接收各期</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募集资金的银行结算账户，账户信息以</w:t>
      </w:r>
      <w:r>
        <w:rPr>
          <w:rFonts w:eastAsia="楷体_GB2312"/>
          <w:bCs/>
          <w:sz w:val="24"/>
        </w:rPr>
        <w:t>“</w:t>
      </w:r>
      <w:r>
        <w:rPr>
          <w:rFonts w:hint="eastAsia" w:ascii="楷体_GB2312" w:eastAsia="楷体_GB2312" w:cs="楷体_GB2312"/>
          <w:bCs/>
          <w:sz w:val="24"/>
        </w:rPr>
        <w:t>《承销协议》</w:t>
      </w:r>
      <w:r>
        <w:rPr>
          <w:rFonts w:eastAsia="楷体_GB2312"/>
          <w:bCs/>
          <w:sz w:val="24"/>
        </w:rPr>
        <w:t>”</w:t>
      </w:r>
      <w:r>
        <w:rPr>
          <w:rFonts w:hint="eastAsia" w:ascii="楷体_GB2312" w:eastAsia="楷体_GB2312" w:cs="楷体_GB2312"/>
          <w:bCs/>
          <w:sz w:val="24"/>
        </w:rPr>
        <w:t>的约定为准。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信托账户：</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在</w:t>
      </w:r>
      <w:r>
        <w:rPr>
          <w:rFonts w:eastAsia="楷体_GB2312"/>
          <w:bCs/>
          <w:sz w:val="24"/>
        </w:rPr>
        <w:t>“</w:t>
      </w:r>
      <w:r>
        <w:rPr>
          <w:rFonts w:hint="eastAsia" w:ascii="楷体_GB2312" w:eastAsia="楷体_GB2312" w:cs="楷体_GB2312"/>
          <w:bCs/>
          <w:sz w:val="24"/>
        </w:rPr>
        <w:t>资金保管机构</w:t>
      </w:r>
      <w:r>
        <w:rPr>
          <w:rFonts w:eastAsia="楷体_GB2312"/>
          <w:bCs/>
          <w:sz w:val="24"/>
        </w:rPr>
        <w:t>”</w:t>
      </w:r>
      <w:r>
        <w:rPr>
          <w:rFonts w:hint="eastAsia" w:ascii="楷体_GB2312" w:eastAsia="楷体_GB2312" w:cs="楷体_GB2312"/>
          <w:bCs/>
          <w:sz w:val="24"/>
        </w:rPr>
        <w:t>为</w:t>
      </w:r>
      <w:r>
        <w:rPr>
          <w:rFonts w:eastAsia="楷体_GB2312"/>
          <w:bCs/>
          <w:sz w:val="24"/>
        </w:rPr>
        <w:t>“</w:t>
      </w:r>
      <w:r>
        <w:rPr>
          <w:rFonts w:hint="eastAsia" w:ascii="楷体_GB2312" w:eastAsia="楷体_GB2312" w:cs="楷体_GB2312"/>
          <w:bCs/>
          <w:sz w:val="24"/>
        </w:rPr>
        <w:t>信托</w:t>
      </w:r>
      <w:r>
        <w:rPr>
          <w:rFonts w:eastAsia="楷体_GB2312"/>
          <w:bCs/>
          <w:sz w:val="24"/>
        </w:rPr>
        <w:t>”</w:t>
      </w:r>
      <w:r>
        <w:rPr>
          <w:rFonts w:hint="eastAsia" w:ascii="楷体_GB2312" w:eastAsia="楷体_GB2312" w:cs="楷体_GB2312"/>
          <w:bCs/>
          <w:sz w:val="24"/>
        </w:rPr>
        <w:t>专门开立的</w:t>
      </w:r>
      <w:r>
        <w:rPr>
          <w:rFonts w:hint="eastAsia" w:ascii="楷体_GB2312" w:eastAsia="楷体_GB2312" w:cs="楷体_GB2312"/>
          <w:sz w:val="24"/>
        </w:rPr>
        <w:t>独立人民币账户</w:t>
      </w:r>
      <w:r>
        <w:rPr>
          <w:rFonts w:hint="eastAsia" w:ascii="楷体_GB2312" w:eastAsia="楷体_GB2312" w:cs="楷体_GB2312"/>
          <w:bCs/>
          <w:sz w:val="24"/>
        </w:rPr>
        <w:t>，用于归集、存放货币形态的</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sz w:val="24"/>
        </w:rPr>
        <w:t>、向</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sz w:val="24"/>
        </w:rPr>
        <w:t>支付相应的</w:t>
      </w:r>
      <w:r>
        <w:rPr>
          <w:rFonts w:eastAsia="楷体_GB2312"/>
          <w:sz w:val="24"/>
        </w:rPr>
        <w:t>“</w:t>
      </w:r>
      <w:r>
        <w:rPr>
          <w:rFonts w:hint="eastAsia" w:ascii="楷体_GB2312" w:eastAsia="楷体_GB2312" w:cs="楷体_GB2312"/>
          <w:sz w:val="24"/>
        </w:rPr>
        <w:t>信托利益</w:t>
      </w:r>
      <w:r>
        <w:rPr>
          <w:rFonts w:eastAsia="楷体_GB2312"/>
          <w:sz w:val="24"/>
        </w:rPr>
        <w:t>”</w:t>
      </w:r>
      <w:r>
        <w:rPr>
          <w:rFonts w:hint="eastAsia" w:ascii="楷体_GB2312" w:eastAsia="楷体_GB2312" w:cs="楷体_GB2312"/>
          <w:sz w:val="24"/>
        </w:rPr>
        <w:t>及支付其他相关费用</w:t>
      </w:r>
      <w:r>
        <w:rPr>
          <w:rFonts w:hint="eastAsia" w:ascii="楷体_GB2312" w:eastAsia="楷体_GB2312" w:cs="楷体_GB2312"/>
          <w:bCs/>
          <w:sz w:val="24"/>
        </w:rPr>
        <w:t>的银行保管账户，</w:t>
      </w:r>
      <w:r>
        <w:rPr>
          <w:rFonts w:hint="eastAsia" w:ascii="楷体_GB2312" w:eastAsia="楷体_GB2312" w:cs="楷体_GB2312"/>
          <w:sz w:val="24"/>
        </w:rPr>
        <w:t>账户名称为</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bCs/>
          <w:sz w:val="24"/>
        </w:rPr>
        <w:t>，开</w:t>
      </w:r>
      <w:r>
        <w:rPr>
          <w:rFonts w:hint="eastAsia" w:ascii="楷体_GB2312" w:eastAsia="楷体_GB2312" w:cs="楷体_GB2312"/>
          <w:sz w:val="24"/>
        </w:rPr>
        <w:t>户行：【】，账号：【】。</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信托账：</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设立的，用以记录</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的收支情况的会计账。</w:t>
      </w:r>
    </w:p>
    <w:p>
      <w:pPr>
        <w:pStyle w:val="13"/>
        <w:spacing w:beforeLines="50" w:afterLines="50" w:line="240" w:lineRule="atLeast"/>
        <w:ind w:left="850" w:leftChars="405" w:firstLine="1"/>
        <w:rPr>
          <w:rFonts w:eastAsia="楷体_GB2312"/>
          <w:b/>
          <w:i/>
          <w:color w:val="FF0000"/>
          <w:kern w:val="0"/>
          <w:u w:val="single"/>
        </w:rPr>
      </w:pPr>
      <w:r>
        <w:rPr>
          <w:rFonts w:hint="eastAsia" w:ascii="楷体_GB2312" w:eastAsia="楷体_GB2312" w:cs="楷体_GB2312"/>
          <w:b/>
          <w:i/>
          <w:color w:val="FF0000"/>
          <w:kern w:val="0"/>
          <w:u w:val="single"/>
        </w:rPr>
        <w:t>信托账的分账、子账设置</w:t>
      </w:r>
      <w:r>
        <w:rPr>
          <w:rFonts w:hint="eastAsia" w:ascii="楷体_GB2312" w:eastAsia="楷体_GB2312" w:cs="楷体_GB2312"/>
          <w:b/>
          <w:i/>
          <w:color w:val="FF0000"/>
          <w:kern w:val="0"/>
          <w:u w:val="single"/>
          <w:lang w:eastAsia="zh-CN"/>
        </w:rPr>
        <w:t>、</w:t>
      </w:r>
      <w:r>
        <w:rPr>
          <w:rFonts w:hint="eastAsia" w:ascii="楷体_GB2312" w:eastAsia="楷体_GB2312" w:cs="楷体_GB2312"/>
          <w:b/>
          <w:i/>
          <w:color w:val="FF0000"/>
          <w:kern w:val="0"/>
          <w:u w:val="single"/>
          <w:lang w:val="en-US" w:eastAsia="zh-CN"/>
        </w:rPr>
        <w:t>相关定义和条款应</w:t>
      </w:r>
      <w:r>
        <w:rPr>
          <w:rFonts w:hint="eastAsia" w:ascii="楷体_GB2312" w:eastAsia="楷体_GB2312" w:cs="楷体_GB2312"/>
          <w:b/>
          <w:i/>
          <w:color w:val="FF0000"/>
          <w:kern w:val="0"/>
          <w:u w:val="single"/>
        </w:rPr>
        <w:t>根据实际情况</w:t>
      </w:r>
      <w:r>
        <w:rPr>
          <w:rFonts w:hint="eastAsia" w:ascii="楷体_GB2312" w:eastAsia="楷体_GB2312" w:cs="楷体_GB2312"/>
          <w:b/>
          <w:i/>
          <w:color w:val="FF0000"/>
          <w:kern w:val="0"/>
          <w:u w:val="single"/>
          <w:lang w:val="en-US" w:eastAsia="zh-CN"/>
        </w:rPr>
        <w:t>修改。</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监管账户：</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在</w:t>
      </w:r>
      <w:r>
        <w:rPr>
          <w:rFonts w:eastAsia="楷体_GB2312"/>
          <w:bCs/>
          <w:sz w:val="24"/>
        </w:rPr>
        <w:t>“</w:t>
      </w:r>
      <w:r>
        <w:rPr>
          <w:rFonts w:hint="eastAsia" w:ascii="楷体_GB2312" w:eastAsia="楷体_GB2312" w:cs="楷体_GB2312"/>
          <w:bCs/>
          <w:sz w:val="24"/>
        </w:rPr>
        <w:t>资金监管机构</w:t>
      </w:r>
      <w:r>
        <w:rPr>
          <w:rFonts w:eastAsia="楷体_GB2312"/>
          <w:bCs/>
          <w:sz w:val="24"/>
        </w:rPr>
        <w:t>”</w:t>
      </w:r>
      <w:r>
        <w:rPr>
          <w:rFonts w:hint="eastAsia" w:ascii="楷体_GB2312" w:eastAsia="楷体_GB2312" w:cs="楷体_GB2312"/>
          <w:bCs/>
          <w:sz w:val="24"/>
        </w:rPr>
        <w:t>开立的独立人民币账户，用于接收、归集</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转付的</w:t>
      </w:r>
      <w:r>
        <w:rPr>
          <w:rFonts w:eastAsia="楷体_GB2312"/>
          <w:bCs/>
          <w:sz w:val="24"/>
        </w:rPr>
        <w:t>“</w:t>
      </w:r>
      <w:r>
        <w:rPr>
          <w:rFonts w:hint="eastAsia" w:ascii="楷体_GB2312" w:eastAsia="楷体_GB2312" w:cs="楷体_GB2312"/>
          <w:bCs/>
          <w:sz w:val="24"/>
        </w:rPr>
        <w:t>回收款</w:t>
      </w:r>
      <w:r>
        <w:rPr>
          <w:rFonts w:eastAsia="楷体_GB2312"/>
          <w:bCs/>
          <w:sz w:val="24"/>
        </w:rPr>
        <w:t>”</w:t>
      </w:r>
      <w:r>
        <w:rPr>
          <w:rFonts w:hint="eastAsia" w:ascii="楷体_GB2312" w:eastAsia="楷体_GB2312" w:cs="楷体_GB2312"/>
          <w:bCs/>
          <w:sz w:val="24"/>
        </w:rPr>
        <w:t>，并根据</w:t>
      </w:r>
      <w:r>
        <w:rPr>
          <w:rFonts w:eastAsia="楷体_GB2312"/>
          <w:bCs/>
          <w:sz w:val="24"/>
        </w:rPr>
        <w:t>“</w:t>
      </w:r>
      <w:r>
        <w:rPr>
          <w:rFonts w:hint="eastAsia" w:ascii="楷体_GB2312" w:eastAsia="楷体_GB2312" w:cs="楷体_GB2312"/>
          <w:bCs/>
          <w:sz w:val="24"/>
        </w:rPr>
        <w:t>《资金监管合同》</w:t>
      </w:r>
      <w:r>
        <w:rPr>
          <w:rFonts w:eastAsia="楷体_GB2312"/>
          <w:bCs/>
          <w:sz w:val="24"/>
        </w:rPr>
        <w:t>”</w:t>
      </w:r>
      <w:r>
        <w:rPr>
          <w:rFonts w:hint="eastAsia" w:ascii="楷体_GB2312" w:eastAsia="楷体_GB2312" w:cs="楷体_GB2312"/>
          <w:bCs/>
          <w:sz w:val="24"/>
        </w:rPr>
        <w:t>的约定转付至</w:t>
      </w:r>
      <w:r>
        <w:rPr>
          <w:rFonts w:eastAsia="楷体_GB2312"/>
          <w:bCs/>
          <w:sz w:val="24"/>
        </w:rPr>
        <w:t>“</w:t>
      </w:r>
      <w:r>
        <w:rPr>
          <w:rFonts w:hint="eastAsia" w:ascii="楷体_GB2312" w:eastAsia="楷体_GB2312" w:cs="楷体_GB2312"/>
          <w:bCs/>
          <w:sz w:val="24"/>
        </w:rPr>
        <w:t>信托账户</w:t>
      </w:r>
      <w:r>
        <w:rPr>
          <w:rFonts w:eastAsia="楷体_GB2312"/>
          <w:bCs/>
          <w:sz w:val="24"/>
        </w:rPr>
        <w:t>”</w:t>
      </w:r>
      <w:r>
        <w:rPr>
          <w:rFonts w:hint="eastAsia" w:ascii="楷体_GB2312" w:eastAsia="楷体_GB2312" w:cs="楷体_GB2312"/>
          <w:bCs/>
          <w:sz w:val="24"/>
        </w:rPr>
        <w:t>，账户信息以“《资金监管合同》”的约定为准。</w:t>
      </w:r>
    </w:p>
    <w:p>
      <w:pPr>
        <w:numPr>
          <w:ilvl w:val="1"/>
          <w:numId w:val="2"/>
        </w:numPr>
        <w:adjustRightInd w:val="0"/>
        <w:spacing w:beforeLines="50" w:afterLines="50" w:line="240" w:lineRule="atLeast"/>
        <w:ind w:left="851" w:hanging="851"/>
        <w:textAlignment w:val="baseline"/>
        <w:rPr>
          <w:rFonts w:eastAsia="楷体_GB2312"/>
          <w:b/>
          <w:sz w:val="24"/>
        </w:rPr>
      </w:pPr>
      <w:bookmarkStart w:id="14" w:name="_Toc173860439"/>
      <w:bookmarkEnd w:id="14"/>
      <w:r>
        <w:rPr>
          <w:rFonts w:hint="eastAsia" w:ascii="楷体_GB2312" w:eastAsia="楷体_GB2312" w:cs="楷体_GB2312"/>
          <w:b/>
          <w:sz w:val="24"/>
        </w:rPr>
        <w:t>收款账户：</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资产</w:t>
      </w:r>
      <w:bookmarkStart w:id="15" w:name="_Toc173860440"/>
      <w:r>
        <w:rPr>
          <w:rFonts w:hint="eastAsia" w:ascii="楷体_GB2312" w:eastAsia="楷体_GB2312" w:cs="楷体_GB2312"/>
          <w:bCs/>
          <w:sz w:val="24"/>
        </w:rPr>
        <w:t>服务机构</w:t>
      </w:r>
      <w:r>
        <w:rPr>
          <w:rFonts w:eastAsia="楷体_GB2312"/>
          <w:bCs/>
          <w:sz w:val="24"/>
        </w:rPr>
        <w:t>”</w:t>
      </w:r>
      <w:bookmarkEnd w:id="15"/>
      <w:r>
        <w:rPr>
          <w:rFonts w:hint="eastAsia" w:ascii="楷体_GB2312" w:eastAsia="楷体_GB2312" w:cs="楷体_GB2312"/>
          <w:bCs/>
          <w:sz w:val="24"/>
        </w:rPr>
        <w:t>开</w:t>
      </w:r>
      <w:bookmarkStart w:id="16" w:name="_Hlk507250493"/>
      <w:r>
        <w:rPr>
          <w:rFonts w:hint="eastAsia" w:ascii="楷体_GB2312" w:eastAsia="楷体_GB2312" w:cs="楷体_GB2312"/>
          <w:bCs/>
          <w:sz w:val="24"/>
        </w:rPr>
        <w:t>立的用于归集</w:t>
      </w:r>
      <w:r>
        <w:rPr>
          <w:rFonts w:eastAsia="楷体_GB2312"/>
          <w:bCs/>
          <w:sz w:val="24"/>
        </w:rPr>
        <w:t>“</w:t>
      </w:r>
      <w:r>
        <w:rPr>
          <w:rFonts w:hint="eastAsia" w:ascii="楷体_GB2312" w:eastAsia="楷体_GB2312" w:cs="楷体_GB2312"/>
          <w:bCs/>
          <w:sz w:val="24"/>
        </w:rPr>
        <w:t>资产</w:t>
      </w:r>
      <w:r>
        <w:rPr>
          <w:rFonts w:eastAsia="楷体_GB2312"/>
          <w:bCs/>
          <w:sz w:val="24"/>
        </w:rPr>
        <w:t>”</w:t>
      </w:r>
      <w:r>
        <w:rPr>
          <w:rFonts w:hint="eastAsia" w:ascii="楷体_GB2312" w:eastAsia="楷体_GB2312" w:cs="楷体_GB2312"/>
          <w:bCs/>
          <w:sz w:val="24"/>
        </w:rPr>
        <w:t>产生的</w:t>
      </w:r>
      <w:r>
        <w:rPr>
          <w:rFonts w:eastAsia="楷体_GB2312"/>
          <w:bCs/>
          <w:sz w:val="24"/>
        </w:rPr>
        <w:t>“</w:t>
      </w:r>
      <w:r>
        <w:rPr>
          <w:rFonts w:hint="eastAsia" w:ascii="楷体_GB2312" w:eastAsia="楷体_GB2312" w:cs="楷体_GB2312"/>
          <w:bCs/>
          <w:sz w:val="24"/>
        </w:rPr>
        <w:t>回收款</w:t>
      </w:r>
      <w:r>
        <w:rPr>
          <w:rFonts w:eastAsia="楷体_GB2312"/>
          <w:bCs/>
          <w:sz w:val="24"/>
        </w:rPr>
        <w:t>”</w:t>
      </w:r>
      <w:r>
        <w:rPr>
          <w:rFonts w:hint="eastAsia" w:ascii="楷体_GB2312" w:eastAsia="楷体_GB2312" w:cs="楷体_GB2312"/>
          <w:bCs/>
          <w:sz w:val="24"/>
        </w:rPr>
        <w:t>的人民</w:t>
      </w:r>
      <w:bookmarkEnd w:id="16"/>
      <w:r>
        <w:rPr>
          <w:rFonts w:hint="eastAsia" w:ascii="楷体_GB2312" w:eastAsia="楷体_GB2312" w:cs="楷体_GB2312"/>
          <w:bCs/>
          <w:sz w:val="24"/>
        </w:rPr>
        <w:t>币资金账户。</w:t>
      </w:r>
    </w:p>
    <w:p>
      <w:pPr>
        <w:pStyle w:val="13"/>
        <w:spacing w:beforeLines="50" w:afterLines="50" w:line="240" w:lineRule="atLeast"/>
        <w:outlineLvl w:val="1"/>
        <w:rPr>
          <w:rFonts w:hint="eastAsia" w:ascii="楷体_GB2312" w:eastAsia="楷体_GB2312" w:cs="楷体_GB2312"/>
          <w:b/>
        </w:rPr>
      </w:pPr>
      <w:r>
        <w:rPr>
          <w:rFonts w:hint="eastAsia" w:ascii="楷体_GB2312" w:eastAsia="楷体_GB2312" w:cs="楷体_GB2312"/>
          <w:b/>
        </w:rPr>
        <w:t>（四）日期、期间与报告的定义</w:t>
      </w:r>
    </w:p>
    <w:p>
      <w:pPr>
        <w:pStyle w:val="13"/>
        <w:spacing w:beforeLines="50" w:afterLines="50" w:line="240" w:lineRule="atLeast"/>
        <w:ind w:firstLine="723" w:firstLineChars="300"/>
        <w:outlineLvl w:val="9"/>
        <w:rPr>
          <w:rFonts w:hint="eastAsia" w:ascii="楷体_GB2312" w:eastAsia="楷体_GB2312" w:cs="楷体_GB2312"/>
          <w:b/>
          <w:u w:val="single"/>
        </w:rPr>
      </w:pPr>
      <w:r>
        <w:rPr>
          <w:rFonts w:hint="eastAsia" w:ascii="楷体_GB2312" w:eastAsia="楷体_GB2312" w:cs="楷体_GB2312"/>
          <w:b/>
          <w:i/>
          <w:color w:val="FF0000"/>
          <w:kern w:val="0"/>
          <w:u w:val="single"/>
          <w:lang w:val="en-US" w:eastAsia="zh-CN"/>
        </w:rPr>
        <w:t>资产支持商业票据的日期、期间设置应根据实际情况修改。</w:t>
      </w:r>
    </w:p>
    <w:p>
      <w:pPr>
        <w:pStyle w:val="13"/>
        <w:spacing w:beforeLines="50" w:afterLines="50" w:line="240" w:lineRule="atLeast"/>
        <w:outlineLvl w:val="2"/>
        <w:rPr>
          <w:rFonts w:eastAsia="楷体_GB2312"/>
          <w:b/>
        </w:rPr>
      </w:pPr>
      <w:r>
        <w:rPr>
          <w:rFonts w:eastAsia="楷体_GB2312"/>
          <w:b/>
        </w:rPr>
        <w:t>1</w:t>
      </w:r>
      <w:r>
        <w:rPr>
          <w:rFonts w:hint="eastAsia" w:ascii="楷体_GB2312" w:eastAsia="楷体_GB2312" w:cs="楷体_GB2312"/>
          <w:b/>
        </w:rPr>
        <w:t>、日期类</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初始起算日：</w:t>
      </w:r>
      <w:r>
        <w:rPr>
          <w:rFonts w:hint="eastAsia" w:ascii="楷体_GB2312" w:eastAsia="楷体_GB2312" w:cs="楷体_GB2312"/>
          <w:bCs/>
          <w:sz w:val="24"/>
        </w:rPr>
        <w:t>系指【】年【】月【】日。从该日起（含该日）</w:t>
      </w:r>
      <w:r>
        <w:rPr>
          <w:rFonts w:eastAsia="楷体_GB2312"/>
          <w:bCs/>
          <w:sz w:val="24"/>
        </w:rPr>
        <w:t>“</w:t>
      </w:r>
      <w:r>
        <w:rPr>
          <w:rFonts w:hint="eastAsia" w:ascii="楷体_GB2312" w:eastAsia="楷体_GB2312" w:cs="楷体_GB2312"/>
          <w:bCs/>
          <w:sz w:val="24"/>
        </w:rPr>
        <w:t>初始资产</w:t>
      </w:r>
      <w:r>
        <w:rPr>
          <w:rFonts w:eastAsia="楷体_GB2312"/>
          <w:bCs/>
          <w:sz w:val="24"/>
        </w:rPr>
        <w:t>”</w:t>
      </w:r>
      <w:r>
        <w:rPr>
          <w:rFonts w:hint="eastAsia" w:ascii="楷体_GB2312" w:eastAsia="楷体_GB2312" w:cs="楷体_GB2312"/>
          <w:bCs/>
          <w:sz w:val="24"/>
        </w:rPr>
        <w:t>产生的</w:t>
      </w:r>
      <w:r>
        <w:rPr>
          <w:rFonts w:eastAsia="楷体_GB2312"/>
          <w:bCs/>
          <w:sz w:val="24"/>
        </w:rPr>
        <w:t>“</w:t>
      </w:r>
      <w:r>
        <w:rPr>
          <w:rFonts w:hint="eastAsia" w:ascii="楷体_GB2312" w:eastAsia="楷体_GB2312" w:cs="楷体_GB2312"/>
          <w:bCs/>
          <w:sz w:val="24"/>
        </w:rPr>
        <w:t>回收款</w:t>
      </w:r>
      <w:r>
        <w:rPr>
          <w:rFonts w:eastAsia="楷体_GB2312"/>
          <w:bCs/>
          <w:sz w:val="24"/>
        </w:rPr>
        <w:t>”</w:t>
      </w:r>
      <w:r>
        <w:rPr>
          <w:rFonts w:hint="eastAsia" w:ascii="楷体_GB2312" w:eastAsia="楷体_GB2312" w:cs="楷体_GB2312"/>
          <w:bCs/>
          <w:sz w:val="24"/>
        </w:rPr>
        <w:t>应全部归入</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后续起算日：</w:t>
      </w:r>
      <w:r>
        <w:rPr>
          <w:rFonts w:hint="eastAsia" w:ascii="楷体_GB2312" w:eastAsia="楷体_GB2312" w:cs="楷体_GB2312"/>
          <w:sz w:val="24"/>
        </w:rPr>
        <w:t>就某次</w:t>
      </w:r>
      <w:r>
        <w:rPr>
          <w:rFonts w:eastAsia="楷体_GB2312"/>
          <w:sz w:val="24"/>
        </w:rPr>
        <w:t>“</w:t>
      </w:r>
      <w:r>
        <w:rPr>
          <w:rFonts w:hint="eastAsia" w:ascii="楷体_GB2312" w:eastAsia="楷体_GB2312" w:cs="楷体_GB2312"/>
          <w:sz w:val="24"/>
        </w:rPr>
        <w:t>追加交付</w:t>
      </w:r>
      <w:r>
        <w:rPr>
          <w:rFonts w:eastAsia="楷体_GB2312"/>
          <w:sz w:val="24"/>
        </w:rPr>
        <w:t>”</w:t>
      </w:r>
      <w:r>
        <w:rPr>
          <w:rFonts w:hint="eastAsia" w:ascii="楷体_GB2312" w:eastAsia="楷体_GB2312" w:cs="楷体_GB2312"/>
          <w:sz w:val="24"/>
        </w:rPr>
        <w:t>而言，系指【</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提出</w:t>
      </w:r>
      <w:r>
        <w:rPr>
          <w:rFonts w:hint="eastAsia" w:ascii="楷体_GB2312" w:eastAsia="楷体_GB2312" w:cs="楷体_GB2312"/>
          <w:bCs/>
          <w:sz w:val="24"/>
        </w:rPr>
        <w:t>该次</w:t>
      </w:r>
      <w:r>
        <w:rPr>
          <w:rFonts w:eastAsia="楷体_GB2312"/>
          <w:bCs/>
          <w:sz w:val="24"/>
        </w:rPr>
        <w:t>“</w:t>
      </w:r>
      <w:r>
        <w:rPr>
          <w:rFonts w:hint="eastAsia" w:ascii="楷体_GB2312" w:eastAsia="楷体_GB2312" w:cs="楷体_GB2312"/>
          <w:bCs/>
          <w:sz w:val="24"/>
        </w:rPr>
        <w:t>追加交付</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追加信托财产交付日</w:t>
      </w:r>
      <w:r>
        <w:rPr>
          <w:rFonts w:eastAsia="楷体_GB2312"/>
          <w:bCs/>
          <w:sz w:val="24"/>
        </w:rPr>
        <w:t>”</w:t>
      </w:r>
      <w:r>
        <w:rPr>
          <w:rFonts w:hint="eastAsia" w:ascii="楷体_GB2312" w:eastAsia="楷体_GB2312" w:cs="楷体_GB2312"/>
          <w:bCs/>
          <w:sz w:val="24"/>
        </w:rPr>
        <w:t>前【】个月的最后一个自然日</w:t>
      </w:r>
      <w:r>
        <w:rPr>
          <w:rFonts w:hint="eastAsia" w:ascii="楷体_GB2312" w:eastAsia="楷体_GB2312" w:cs="楷体_GB2312"/>
          <w:sz w:val="24"/>
        </w:rPr>
        <w:t>】</w:t>
      </w:r>
      <w:r>
        <w:rPr>
          <w:rFonts w:hint="eastAsia" w:ascii="楷体_GB2312" w:eastAsia="楷体_GB2312" w:cs="楷体_GB2312"/>
          <w:bCs/>
          <w:sz w:val="24"/>
        </w:rPr>
        <w:t>。从该日起（含该日），该次</w:t>
      </w:r>
      <w:r>
        <w:rPr>
          <w:rFonts w:eastAsia="楷体_GB2312"/>
          <w:bCs/>
          <w:sz w:val="24"/>
        </w:rPr>
        <w:t>“</w:t>
      </w:r>
      <w:r>
        <w:rPr>
          <w:rFonts w:hint="eastAsia" w:ascii="楷体_GB2312" w:eastAsia="楷体_GB2312" w:cs="楷体_GB2312"/>
          <w:bCs/>
          <w:sz w:val="24"/>
        </w:rPr>
        <w:t>追加交付</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追加资产</w:t>
      </w:r>
      <w:r>
        <w:rPr>
          <w:rFonts w:eastAsia="楷体_GB2312"/>
          <w:bCs/>
          <w:sz w:val="24"/>
        </w:rPr>
        <w:t>”</w:t>
      </w:r>
      <w:r>
        <w:rPr>
          <w:rFonts w:hint="eastAsia" w:ascii="楷体_GB2312" w:eastAsia="楷体_GB2312" w:cs="楷体_GB2312"/>
          <w:bCs/>
          <w:sz w:val="24"/>
        </w:rPr>
        <w:t>产生的</w:t>
      </w:r>
      <w:r>
        <w:rPr>
          <w:rFonts w:eastAsia="楷体_GB2312"/>
          <w:bCs/>
          <w:sz w:val="24"/>
        </w:rPr>
        <w:t>“</w:t>
      </w:r>
      <w:r>
        <w:rPr>
          <w:rFonts w:hint="eastAsia" w:ascii="楷体_GB2312" w:eastAsia="楷体_GB2312" w:cs="楷体_GB2312"/>
          <w:bCs/>
          <w:sz w:val="24"/>
        </w:rPr>
        <w:t>回收款</w:t>
      </w:r>
      <w:r>
        <w:rPr>
          <w:rFonts w:eastAsia="楷体_GB2312"/>
          <w:bCs/>
          <w:sz w:val="24"/>
        </w:rPr>
        <w:t>”</w:t>
      </w:r>
      <w:r>
        <w:rPr>
          <w:rFonts w:hint="eastAsia" w:ascii="楷体_GB2312" w:eastAsia="楷体_GB2312" w:cs="楷体_GB2312"/>
          <w:bCs/>
          <w:sz w:val="24"/>
        </w:rPr>
        <w:t>应全部归入</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循环购买起算日：</w:t>
      </w:r>
      <w:r>
        <w:rPr>
          <w:rFonts w:hint="eastAsia" w:ascii="楷体_GB2312" w:eastAsia="楷体_GB2312" w:cs="楷体_GB2312"/>
          <w:sz w:val="24"/>
        </w:rPr>
        <w:t>就某次</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而言，</w:t>
      </w:r>
      <w:r>
        <w:rPr>
          <w:rFonts w:hint="eastAsia" w:ascii="楷体_GB2312" w:eastAsia="楷体_GB2312" w:cs="楷体_GB2312"/>
          <w:bCs/>
          <w:sz w:val="24"/>
        </w:rPr>
        <w:t>系指【该次</w:t>
      </w:r>
      <w:r>
        <w:rPr>
          <w:rFonts w:eastAsia="楷体_GB2312"/>
          <w:bCs/>
          <w:sz w:val="24"/>
        </w:rPr>
        <w:t>“</w:t>
      </w:r>
      <w:r>
        <w:rPr>
          <w:rFonts w:hint="eastAsia" w:ascii="楷体_GB2312" w:eastAsia="楷体_GB2312" w:cs="楷体_GB2312"/>
          <w:bCs/>
          <w:sz w:val="24"/>
        </w:rPr>
        <w:t>循环购买</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循环购买日</w:t>
      </w:r>
      <w:r>
        <w:rPr>
          <w:rFonts w:eastAsia="楷体_GB2312"/>
          <w:bCs/>
          <w:sz w:val="24"/>
        </w:rPr>
        <w:t>”</w:t>
      </w:r>
      <w:r>
        <w:rPr>
          <w:rFonts w:hint="eastAsia" w:ascii="楷体_GB2312" w:eastAsia="楷体_GB2312" w:cs="楷体_GB2312"/>
          <w:bCs/>
          <w:sz w:val="24"/>
        </w:rPr>
        <w:t>前【】个月的最后一个自然日】。从该日起（含该日）</w:t>
      </w:r>
      <w:r>
        <w:rPr>
          <w:rFonts w:eastAsia="楷体_GB2312"/>
          <w:bCs/>
          <w:sz w:val="24"/>
        </w:rPr>
        <w:t>“</w:t>
      </w:r>
      <w:r>
        <w:rPr>
          <w:rFonts w:hint="eastAsia" w:ascii="楷体_GB2312" w:eastAsia="楷体_GB2312" w:cs="楷体_GB2312"/>
          <w:bCs/>
          <w:sz w:val="24"/>
        </w:rPr>
        <w:t>循环购买资产</w:t>
      </w:r>
      <w:r>
        <w:rPr>
          <w:rFonts w:eastAsia="楷体_GB2312"/>
          <w:bCs/>
          <w:sz w:val="24"/>
        </w:rPr>
        <w:t>”</w:t>
      </w:r>
      <w:r>
        <w:rPr>
          <w:rFonts w:hint="eastAsia" w:ascii="楷体_GB2312" w:eastAsia="楷体_GB2312" w:cs="楷体_GB2312"/>
          <w:bCs/>
          <w:sz w:val="24"/>
        </w:rPr>
        <w:t>产生的</w:t>
      </w:r>
      <w:r>
        <w:rPr>
          <w:rFonts w:eastAsia="楷体_GB2312"/>
          <w:bCs/>
          <w:sz w:val="24"/>
        </w:rPr>
        <w:t>“</w:t>
      </w:r>
      <w:r>
        <w:rPr>
          <w:rFonts w:hint="eastAsia" w:ascii="楷体_GB2312" w:eastAsia="楷体_GB2312" w:cs="楷体_GB2312"/>
          <w:bCs/>
          <w:sz w:val="24"/>
        </w:rPr>
        <w:t>回收款</w:t>
      </w:r>
      <w:r>
        <w:rPr>
          <w:rFonts w:eastAsia="楷体_GB2312"/>
          <w:bCs/>
          <w:sz w:val="24"/>
        </w:rPr>
        <w:t>”</w:t>
      </w:r>
      <w:r>
        <w:rPr>
          <w:rFonts w:hint="eastAsia" w:ascii="楷体_GB2312" w:eastAsia="楷体_GB2312" w:cs="楷体_GB2312"/>
          <w:bCs/>
          <w:sz w:val="24"/>
        </w:rPr>
        <w:t>应全部归入</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赎回起算日：</w:t>
      </w:r>
      <w:r>
        <w:rPr>
          <w:rFonts w:hint="eastAsia" w:ascii="楷体_GB2312" w:eastAsia="楷体_GB2312" w:cs="楷体_GB2312"/>
          <w:sz w:val="24"/>
        </w:rPr>
        <w:t>就某次</w:t>
      </w:r>
      <w:r>
        <w:rPr>
          <w:rFonts w:eastAsia="楷体_GB2312"/>
          <w:sz w:val="24"/>
        </w:rPr>
        <w:t>“</w:t>
      </w:r>
      <w:r>
        <w:rPr>
          <w:rFonts w:hint="eastAsia" w:ascii="楷体_GB2312" w:eastAsia="楷体_GB2312" w:cs="楷体_GB2312"/>
          <w:sz w:val="24"/>
        </w:rPr>
        <w:t>赎回</w:t>
      </w:r>
      <w:r>
        <w:rPr>
          <w:rFonts w:eastAsia="楷体_GB2312"/>
          <w:sz w:val="24"/>
        </w:rPr>
        <w:t>”</w:t>
      </w:r>
      <w:r>
        <w:rPr>
          <w:rFonts w:hint="eastAsia" w:ascii="楷体_GB2312" w:eastAsia="楷体_GB2312" w:cs="楷体_GB2312"/>
          <w:sz w:val="24"/>
        </w:rPr>
        <w:t>而言，系指【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提出该次</w:t>
      </w:r>
      <w:r>
        <w:rPr>
          <w:rFonts w:eastAsia="楷体_GB2312"/>
          <w:bCs/>
          <w:sz w:val="24"/>
        </w:rPr>
        <w:t>“</w:t>
      </w:r>
      <w:r>
        <w:rPr>
          <w:rFonts w:hint="eastAsia" w:ascii="楷体_GB2312" w:eastAsia="楷体_GB2312" w:cs="楷体_GB2312"/>
          <w:sz w:val="24"/>
        </w:rPr>
        <w:t>赎回</w:t>
      </w:r>
      <w:r>
        <w:rPr>
          <w:rFonts w:eastAsia="楷体_GB2312"/>
          <w:bCs/>
          <w:sz w:val="24"/>
        </w:rPr>
        <w:t>”</w:t>
      </w:r>
      <w:r>
        <w:rPr>
          <w:rFonts w:hint="eastAsia" w:ascii="楷体_GB2312" w:eastAsia="楷体_GB2312" w:cs="楷体_GB2312"/>
          <w:sz w:val="24"/>
        </w:rPr>
        <w:t>相应</w:t>
      </w:r>
      <w:r>
        <w:rPr>
          <w:rFonts w:eastAsia="楷体_GB2312"/>
          <w:sz w:val="24"/>
        </w:rPr>
        <w:t>“</w:t>
      </w:r>
      <w:r>
        <w:rPr>
          <w:rFonts w:hint="eastAsia" w:ascii="楷体_GB2312" w:eastAsia="楷体_GB2312" w:cs="楷体_GB2312"/>
          <w:sz w:val="24"/>
        </w:rPr>
        <w:t>不合格资产</w:t>
      </w:r>
      <w:r>
        <w:rPr>
          <w:rFonts w:eastAsia="楷体_GB2312"/>
          <w:sz w:val="24"/>
        </w:rPr>
        <w:t>”</w:t>
      </w:r>
      <w:r>
        <w:rPr>
          <w:rFonts w:hint="eastAsia" w:ascii="楷体_GB2312" w:eastAsia="楷体_GB2312" w:cs="楷体_GB2312"/>
          <w:sz w:val="24"/>
        </w:rPr>
        <w:t>要求时所在对应</w:t>
      </w:r>
      <w:r>
        <w:rPr>
          <w:rFonts w:eastAsia="楷体_GB2312"/>
          <w:sz w:val="24"/>
        </w:rPr>
        <w:t>“</w:t>
      </w:r>
      <w:r>
        <w:rPr>
          <w:rFonts w:hint="eastAsia" w:ascii="楷体_GB2312" w:eastAsia="楷体_GB2312" w:cs="楷体_GB2312"/>
          <w:sz w:val="24"/>
        </w:rPr>
        <w:t>收款期间</w:t>
      </w:r>
      <w:r>
        <w:rPr>
          <w:rFonts w:eastAsia="楷体_GB2312"/>
          <w:sz w:val="24"/>
        </w:rPr>
        <w:t>”</w:t>
      </w:r>
      <w:r>
        <w:rPr>
          <w:rFonts w:hint="eastAsia" w:ascii="楷体_GB2312" w:eastAsia="楷体_GB2312" w:cs="楷体_GB2312"/>
          <w:sz w:val="24"/>
        </w:rPr>
        <w:t>的最后一日</w:t>
      </w:r>
      <w:r>
        <w:rPr>
          <w:rFonts w:hint="eastAsia" w:ascii="楷体_GB2312" w:eastAsia="楷体_GB2312" w:cs="楷体_GB2312"/>
          <w:bCs/>
          <w:sz w:val="24"/>
        </w:rPr>
        <w:t>（不含该日）</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回购起算日：</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回购</w:t>
      </w:r>
      <w:r>
        <w:rPr>
          <w:rFonts w:eastAsia="楷体_GB2312"/>
          <w:sz w:val="24"/>
        </w:rPr>
        <w:t>”</w:t>
      </w:r>
      <w:r>
        <w:rPr>
          <w:rFonts w:hint="eastAsia" w:ascii="楷体_GB2312" w:eastAsia="楷体_GB2312" w:cs="楷体_GB2312"/>
          <w:sz w:val="24"/>
        </w:rPr>
        <w:t>的</w:t>
      </w:r>
      <w:r>
        <w:rPr>
          <w:rFonts w:eastAsia="楷体_GB2312"/>
          <w:sz w:val="24"/>
        </w:rPr>
        <w:t>(a)</w:t>
      </w:r>
      <w:r>
        <w:rPr>
          <w:rFonts w:hint="eastAsia" w:ascii="楷体_GB2312" w:eastAsia="楷体_GB2312" w:cs="楷体_GB2312"/>
          <w:sz w:val="24"/>
        </w:rPr>
        <w:t>项而言，系指【</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第【</w:t>
      </w:r>
      <w:r>
        <w:rPr>
          <w:rFonts w:eastAsia="楷体_GB2312"/>
          <w:sz w:val="24"/>
        </w:rPr>
        <w:t>15.1</w:t>
      </w:r>
      <w:r>
        <w:rPr>
          <w:rFonts w:hint="eastAsia" w:ascii="楷体_GB2312" w:eastAsia="楷体_GB2312" w:cs="楷体_GB2312"/>
          <w:sz w:val="24"/>
        </w:rPr>
        <w:t>】款的约定书面通知</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之日所在</w:t>
      </w:r>
      <w:r>
        <w:rPr>
          <w:rFonts w:eastAsia="楷体_GB2312"/>
          <w:sz w:val="24"/>
        </w:rPr>
        <w:t>“</w:t>
      </w:r>
      <w:r>
        <w:rPr>
          <w:rFonts w:hint="eastAsia" w:ascii="楷体_GB2312" w:eastAsia="楷体_GB2312" w:cs="楷体_GB2312"/>
          <w:sz w:val="24"/>
        </w:rPr>
        <w:t>收款期间</w:t>
      </w:r>
      <w:r>
        <w:rPr>
          <w:rFonts w:eastAsia="楷体_GB2312"/>
          <w:sz w:val="24"/>
        </w:rPr>
        <w:t>”</w:t>
      </w:r>
      <w:r>
        <w:rPr>
          <w:rFonts w:hint="eastAsia" w:ascii="楷体_GB2312" w:eastAsia="楷体_GB2312" w:cs="楷体_GB2312"/>
          <w:sz w:val="24"/>
        </w:rPr>
        <w:t>的最后一日</w:t>
      </w:r>
      <w:r>
        <w:rPr>
          <w:rFonts w:hint="eastAsia" w:ascii="楷体_GB2312" w:eastAsia="楷体_GB2312" w:cs="楷体_GB2312"/>
          <w:bCs/>
          <w:sz w:val="24"/>
        </w:rPr>
        <w:t>（不含该日）</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回购</w:t>
      </w:r>
      <w:r>
        <w:rPr>
          <w:rFonts w:eastAsia="楷体_GB2312"/>
          <w:sz w:val="24"/>
        </w:rPr>
        <w:t>”</w:t>
      </w:r>
      <w:r>
        <w:rPr>
          <w:rFonts w:hint="eastAsia" w:ascii="楷体_GB2312" w:eastAsia="楷体_GB2312" w:cs="楷体_GB2312"/>
          <w:sz w:val="24"/>
        </w:rPr>
        <w:t>的</w:t>
      </w:r>
      <w:r>
        <w:rPr>
          <w:rFonts w:eastAsia="楷体_GB2312"/>
          <w:sz w:val="24"/>
        </w:rPr>
        <w:t>(b)</w:t>
      </w:r>
      <w:r>
        <w:rPr>
          <w:rFonts w:hint="eastAsia" w:ascii="楷体_GB2312" w:eastAsia="楷体_GB2312" w:cs="楷体_GB2312"/>
          <w:sz w:val="24"/>
        </w:rPr>
        <w:t>项而言，系指【</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第【</w:t>
      </w:r>
      <w:r>
        <w:rPr>
          <w:rFonts w:eastAsia="楷体_GB2312"/>
          <w:sz w:val="24"/>
        </w:rPr>
        <w:t>7.7.2.2</w:t>
      </w:r>
      <w:r>
        <w:rPr>
          <w:rFonts w:hint="eastAsia" w:ascii="楷体_GB2312" w:eastAsia="楷体_GB2312" w:cs="楷体_GB2312"/>
          <w:sz w:val="24"/>
        </w:rPr>
        <w:t>】款的约定书面通知</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不再</w:t>
      </w:r>
      <w:r>
        <w:rPr>
          <w:rFonts w:eastAsia="楷体_GB2312"/>
          <w:sz w:val="24"/>
        </w:rPr>
        <w:t>“</w:t>
      </w:r>
      <w:r>
        <w:rPr>
          <w:rFonts w:hint="eastAsia" w:ascii="楷体_GB2312" w:eastAsia="楷体_GB2312" w:cs="楷体_GB2312"/>
          <w:sz w:val="24"/>
        </w:rPr>
        <w:t>滚动发行</w:t>
      </w:r>
      <w:r>
        <w:rPr>
          <w:rFonts w:eastAsia="楷体_GB2312"/>
          <w:sz w:val="24"/>
        </w:rPr>
        <w:t>”</w:t>
      </w:r>
      <w:r>
        <w:rPr>
          <w:rFonts w:hint="eastAsia" w:ascii="楷体_GB2312" w:eastAsia="楷体_GB2312" w:cs="楷体_GB2312"/>
          <w:sz w:val="24"/>
        </w:rPr>
        <w:t>新一期</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之日所在</w:t>
      </w:r>
      <w:r>
        <w:rPr>
          <w:rFonts w:eastAsia="楷体_GB2312"/>
          <w:sz w:val="24"/>
        </w:rPr>
        <w:t>“</w:t>
      </w:r>
      <w:r>
        <w:rPr>
          <w:rFonts w:hint="eastAsia" w:ascii="楷体_GB2312" w:eastAsia="楷体_GB2312" w:cs="楷体_GB2312"/>
          <w:sz w:val="24"/>
        </w:rPr>
        <w:t>收款期间</w:t>
      </w:r>
      <w:r>
        <w:rPr>
          <w:rFonts w:eastAsia="楷体_GB2312"/>
          <w:sz w:val="24"/>
        </w:rPr>
        <w:t>”</w:t>
      </w:r>
      <w:r>
        <w:rPr>
          <w:rFonts w:hint="eastAsia" w:ascii="楷体_GB2312" w:eastAsia="楷体_GB2312" w:cs="楷体_GB2312"/>
          <w:sz w:val="24"/>
        </w:rPr>
        <w:t>的最后一日</w:t>
      </w:r>
      <w:r>
        <w:rPr>
          <w:rFonts w:hint="eastAsia" w:ascii="楷体_GB2312" w:eastAsia="楷体_GB2312" w:cs="楷体_GB2312"/>
          <w:bCs/>
          <w:sz w:val="24"/>
        </w:rPr>
        <w:t>（不含该日）</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回购</w:t>
      </w:r>
      <w:r>
        <w:rPr>
          <w:rFonts w:eastAsia="楷体_GB2312"/>
          <w:sz w:val="24"/>
        </w:rPr>
        <w:t>”</w:t>
      </w:r>
      <w:r>
        <w:rPr>
          <w:rFonts w:hint="eastAsia" w:ascii="楷体_GB2312" w:eastAsia="楷体_GB2312" w:cs="楷体_GB2312"/>
          <w:sz w:val="24"/>
        </w:rPr>
        <w:t>的</w:t>
      </w:r>
      <w:r>
        <w:rPr>
          <w:rFonts w:eastAsia="楷体_GB2312"/>
          <w:sz w:val="24"/>
        </w:rPr>
        <w:t>(c)</w:t>
      </w:r>
      <w:r>
        <w:rPr>
          <w:rFonts w:hint="eastAsia" w:ascii="楷体_GB2312" w:eastAsia="楷体_GB2312" w:cs="楷体_GB2312"/>
          <w:sz w:val="24"/>
        </w:rPr>
        <w:t>项而言，系指【已届至的最近一个</w:t>
      </w:r>
      <w:r>
        <w:rPr>
          <w:rFonts w:hint="eastAsia" w:eastAsia="楷体_GB2312"/>
          <w:sz w:val="24"/>
        </w:rPr>
        <w:t>“计算日”</w:t>
      </w:r>
      <w:r>
        <w:rPr>
          <w:rFonts w:hint="eastAsia" w:ascii="楷体_GB2312" w:eastAsia="楷体_GB2312" w:cs="楷体_GB2312"/>
          <w:bCs/>
          <w:sz w:val="24"/>
        </w:rPr>
        <w:t>（不含该日）</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各起算日（包括但不限于初始起算日、后续起算日、循环购买起算日、赎回起算日、回购起算日）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根据实际情况调整</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下同</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eastAsia="楷体_GB2312"/>
          <w:b/>
          <w:sz w:val="24"/>
        </w:rPr>
        <w:t>回购价款支付日：</w:t>
      </w:r>
      <w:r>
        <w:rPr>
          <w:rFonts w:eastAsia="楷体_GB2312"/>
          <w:sz w:val="24"/>
        </w:rPr>
        <w:t>就“回购”的(a)项而言，系指【“委托人”根据“《信托合同》”第【15.1】款的约定书面通知“受托人”之日后第一个“回收款转付日”】；就“回购”的(b)项而言，系指【“受托人”根据《信托合同》”第【7.7.2.2】款的约定书面通知“受托人”之日届时存续的“优先级资产支持商业票据”“到期日”前【】个“工作日”】；就“回购”的(c)项而言，系指【“受托人”根据“《信托合同》”第【15.3】款的约定向“委托人”发出《回购义务通知》之日后【】个工作日】。</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回购价款支付日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bCs/>
          <w:sz w:val="24"/>
        </w:rPr>
      </w:pPr>
      <w:r>
        <w:rPr>
          <w:rFonts w:eastAsia="楷体_GB2312"/>
          <w:b/>
          <w:bCs/>
          <w:sz w:val="24"/>
        </w:rPr>
        <w:t>受益权价款支付日：</w:t>
      </w:r>
      <w:r>
        <w:rPr>
          <w:rFonts w:eastAsia="楷体_GB2312"/>
          <w:bCs/>
          <w:sz w:val="24"/>
        </w:rPr>
        <w:t>系指“委托人”支付“信托受益权转让对价”的日期。【就“《信托合同》”第【7.7.2.3】款的约定而言，“受益权价款支付日”为</w:t>
      </w:r>
      <w:r>
        <w:rPr>
          <w:rFonts w:eastAsia="楷体_GB2312"/>
          <w:sz w:val="24"/>
        </w:rPr>
        <w:t>对应的“优先级资产支持商业票据”“到期日”前第【】个“工作日”；就</w:t>
      </w:r>
      <w:r>
        <w:rPr>
          <w:rFonts w:eastAsia="楷体_GB2312"/>
          <w:bCs/>
          <w:sz w:val="24"/>
        </w:rPr>
        <w:t>“《信托合同》”第【7.8.4】款的约定而言，“受益权价款支付日”为对应的“簿记建档日”或“缴款日”后【】个“工作日”。】</w:t>
      </w:r>
    </w:p>
    <w:p>
      <w:pPr>
        <w:numPr>
          <w:ilvl w:val="-1"/>
          <w:numId w:val="0"/>
        </w:numPr>
        <w:adjustRightInd w:val="0"/>
        <w:spacing w:beforeLines="50" w:afterLines="50" w:line="240" w:lineRule="atLeast"/>
        <w:ind w:left="851" w:firstLine="0"/>
        <w:textAlignment w:val="baseline"/>
        <w:rPr>
          <w:rFonts w:eastAsia="楷体_GB2312"/>
          <w:b/>
          <w:bCs/>
          <w:sz w:val="24"/>
          <w:u w:val="single"/>
        </w:rPr>
      </w:pPr>
      <w:r>
        <w:rPr>
          <w:rFonts w:hint="eastAsia" w:ascii="楷体_GB2312" w:eastAsia="楷体_GB2312" w:cs="楷体_GB2312"/>
          <w:b/>
          <w:i/>
          <w:color w:val="FF0000"/>
          <w:sz w:val="24"/>
          <w:u w:val="single"/>
        </w:rPr>
        <w:t>受益权价款支付日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循环购买日：</w:t>
      </w:r>
      <w:r>
        <w:rPr>
          <w:rFonts w:hint="eastAsia" w:ascii="楷体_GB2312" w:eastAsia="楷体_GB2312" w:cs="楷体_GB2312"/>
          <w:sz w:val="24"/>
        </w:rPr>
        <w:t>就某次</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而言，</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与</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根据</w:t>
      </w:r>
      <w:r>
        <w:rPr>
          <w:rFonts w:eastAsia="楷体_GB2312"/>
          <w:bCs/>
          <w:sz w:val="24"/>
        </w:rPr>
        <w:t>“</w:t>
      </w:r>
      <w:r>
        <w:rPr>
          <w:rFonts w:hint="eastAsia" w:ascii="楷体_GB2312" w:eastAsia="楷体_GB2312" w:cs="楷体_GB2312"/>
          <w:bCs/>
          <w:sz w:val="24"/>
        </w:rPr>
        <w:t>交易文件</w:t>
      </w:r>
      <w:r>
        <w:rPr>
          <w:rFonts w:eastAsia="楷体_GB2312"/>
          <w:bCs/>
          <w:sz w:val="24"/>
        </w:rPr>
        <w:t>”</w:t>
      </w:r>
      <w:r>
        <w:rPr>
          <w:rFonts w:hint="eastAsia" w:ascii="楷体_GB2312" w:eastAsia="楷体_GB2312" w:cs="楷体_GB2312"/>
          <w:bCs/>
          <w:sz w:val="24"/>
        </w:rPr>
        <w:t>确定的条件和程序进行</w:t>
      </w:r>
      <w:r>
        <w:rPr>
          <w:rFonts w:eastAsia="楷体_GB2312"/>
          <w:bCs/>
          <w:sz w:val="24"/>
        </w:rPr>
        <w:t>“</w:t>
      </w:r>
      <w:r>
        <w:rPr>
          <w:rFonts w:hint="eastAsia" w:ascii="楷体_GB2312" w:eastAsia="楷体_GB2312" w:cs="楷体_GB2312"/>
          <w:bCs/>
          <w:sz w:val="24"/>
        </w:rPr>
        <w:t>循环购买</w:t>
      </w:r>
      <w:r>
        <w:rPr>
          <w:rFonts w:eastAsia="楷体_GB2312"/>
          <w:bCs/>
          <w:sz w:val="24"/>
        </w:rPr>
        <w:t>”</w:t>
      </w:r>
      <w:r>
        <w:rPr>
          <w:rFonts w:hint="eastAsia" w:ascii="楷体_GB2312" w:eastAsia="楷体_GB2312" w:cs="楷体_GB2312"/>
          <w:bCs/>
          <w:sz w:val="24"/>
        </w:rPr>
        <w:t>之日，为</w:t>
      </w:r>
      <w:r>
        <w:rPr>
          <w:rFonts w:eastAsia="楷体_GB2312"/>
          <w:bCs/>
          <w:sz w:val="24"/>
        </w:rPr>
        <w:t>“</w:t>
      </w:r>
      <w:r>
        <w:rPr>
          <w:rFonts w:hint="eastAsia" w:ascii="楷体_GB2312" w:eastAsia="楷体_GB2312" w:cs="楷体_GB2312"/>
          <w:bCs/>
          <w:sz w:val="24"/>
        </w:rPr>
        <w:t>循环期</w:t>
      </w:r>
      <w:r>
        <w:rPr>
          <w:rFonts w:eastAsia="楷体_GB2312"/>
          <w:bCs/>
          <w:sz w:val="24"/>
        </w:rPr>
        <w:t>”</w:t>
      </w:r>
      <w:r>
        <w:rPr>
          <w:rFonts w:hint="eastAsia" w:ascii="楷体_GB2312" w:eastAsia="楷体_GB2312" w:cs="楷体_GB2312"/>
          <w:bCs/>
          <w:sz w:val="24"/>
        </w:rPr>
        <w:t>内每个</w:t>
      </w:r>
      <w:r>
        <w:rPr>
          <w:rFonts w:eastAsia="楷体_GB2312"/>
          <w:bCs/>
          <w:sz w:val="24"/>
        </w:rPr>
        <w:t>“</w:t>
      </w:r>
      <w:r>
        <w:rPr>
          <w:rFonts w:hint="eastAsia" w:ascii="楷体_GB2312" w:eastAsia="楷体_GB2312" w:cs="楷体_GB2312"/>
          <w:bCs/>
          <w:sz w:val="24"/>
        </w:rPr>
        <w:t>支付日</w:t>
      </w:r>
      <w:r>
        <w:rPr>
          <w:rFonts w:eastAsia="楷体_GB2312"/>
          <w:bCs/>
          <w:sz w:val="24"/>
        </w:rPr>
        <w:t>”</w:t>
      </w:r>
      <w:r>
        <w:rPr>
          <w:rFonts w:hint="eastAsia" w:ascii="楷体_GB2312" w:eastAsia="楷体_GB2312" w:cs="楷体_GB2312"/>
          <w:bCs/>
          <w:sz w:val="24"/>
        </w:rPr>
        <w:t>当日】。</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循环购买日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簿记建档日：</w:t>
      </w:r>
      <w:r>
        <w:rPr>
          <w:rFonts w:hint="eastAsia" w:ascii="楷体_GB2312" w:eastAsia="楷体_GB2312" w:cs="楷体_GB2312"/>
          <w:sz w:val="24"/>
        </w:rPr>
        <w:t>就某一期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的发行而言，系指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以</w:t>
      </w:r>
      <w:r>
        <w:rPr>
          <w:rFonts w:eastAsia="楷体_GB2312"/>
          <w:sz w:val="24"/>
        </w:rPr>
        <w:t>“</w:t>
      </w:r>
      <w:r>
        <w:rPr>
          <w:rFonts w:hint="eastAsia" w:ascii="楷体_GB2312" w:eastAsia="楷体_GB2312" w:cs="楷体_GB2312"/>
          <w:sz w:val="24"/>
        </w:rPr>
        <w:t>簿记建档</w:t>
      </w:r>
      <w:r>
        <w:rPr>
          <w:rFonts w:eastAsia="楷体_GB2312"/>
          <w:sz w:val="24"/>
        </w:rPr>
        <w:t>”</w:t>
      </w:r>
      <w:r>
        <w:rPr>
          <w:rFonts w:hint="eastAsia" w:ascii="楷体_GB2312" w:eastAsia="楷体_GB2312" w:cs="楷体_GB2312"/>
          <w:sz w:val="24"/>
        </w:rPr>
        <w:t>方式发行各期</w:t>
      </w:r>
      <w:r>
        <w:rPr>
          <w:rFonts w:eastAsia="楷体_GB2312"/>
          <w:sz w:val="24"/>
        </w:rPr>
        <w:t>“</w:t>
      </w:r>
      <w:r>
        <w:rPr>
          <w:rFonts w:hint="eastAsia" w:ascii="楷体_GB2312" w:eastAsia="楷体_GB2312" w:cs="楷体_GB2312"/>
          <w:bCs/>
          <w:sz w:val="24"/>
        </w:rPr>
        <w:t>资产支持商业票据</w:t>
      </w:r>
      <w:r>
        <w:rPr>
          <w:rFonts w:eastAsia="楷体_GB2312"/>
          <w:sz w:val="24"/>
        </w:rPr>
        <w:t>”</w:t>
      </w:r>
      <w:r>
        <w:rPr>
          <w:rFonts w:hint="eastAsia" w:ascii="楷体_GB2312" w:eastAsia="楷体_GB2312" w:cs="楷体_GB2312"/>
          <w:sz w:val="24"/>
        </w:rPr>
        <w:t>的日期，具体以</w:t>
      </w:r>
      <w:r>
        <w:rPr>
          <w:rFonts w:eastAsia="楷体_GB2312"/>
          <w:sz w:val="24"/>
        </w:rPr>
        <w:t>“</w:t>
      </w:r>
      <w:r>
        <w:rPr>
          <w:rFonts w:hint="eastAsia" w:ascii="楷体_GB2312" w:eastAsia="楷体_GB2312" w:cs="楷体_GB2312"/>
          <w:sz w:val="24"/>
        </w:rPr>
        <w:t>发行文件</w:t>
      </w:r>
      <w:r>
        <w:rPr>
          <w:rFonts w:eastAsia="楷体_GB2312"/>
          <w:sz w:val="24"/>
        </w:rPr>
        <w:t>”</w:t>
      </w:r>
      <w:r>
        <w:rPr>
          <w:rFonts w:hint="eastAsia" w:ascii="楷体_GB2312" w:eastAsia="楷体_GB2312" w:cs="楷体_GB2312"/>
          <w:sz w:val="24"/>
        </w:rPr>
        <w:t>所载日期为准。</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缴款日：</w:t>
      </w:r>
      <w:r>
        <w:rPr>
          <w:rFonts w:hint="eastAsia" w:ascii="楷体_GB2312" w:eastAsia="楷体_GB2312" w:cs="楷体_GB2312"/>
          <w:sz w:val="24"/>
        </w:rPr>
        <w:t>就某一期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的发行而言，系指</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指定的各</w:t>
      </w:r>
      <w:r>
        <w:rPr>
          <w:rFonts w:eastAsia="楷体_GB2312"/>
          <w:sz w:val="24"/>
        </w:rPr>
        <w:t>“</w:t>
      </w:r>
      <w:r>
        <w:rPr>
          <w:rFonts w:hint="eastAsia" w:ascii="楷体_GB2312" w:eastAsia="楷体_GB2312" w:cs="楷体_GB2312"/>
          <w:sz w:val="24"/>
        </w:rPr>
        <w:t>承销团</w:t>
      </w:r>
      <w:r>
        <w:rPr>
          <w:rFonts w:eastAsia="楷体_GB2312"/>
          <w:sz w:val="24"/>
        </w:rPr>
        <w:t>”</w:t>
      </w:r>
      <w:r>
        <w:rPr>
          <w:rFonts w:hint="eastAsia" w:ascii="楷体_GB2312" w:eastAsia="楷体_GB2312" w:cs="楷体_GB2312"/>
          <w:sz w:val="24"/>
        </w:rPr>
        <w:t>成员将各自所获配售额度对应的募集款项全额划至</w:t>
      </w:r>
      <w:r>
        <w:rPr>
          <w:rFonts w:eastAsia="楷体_GB2312"/>
          <w:sz w:val="24"/>
        </w:rPr>
        <w:t>“</w:t>
      </w:r>
      <w:r>
        <w:rPr>
          <w:rFonts w:hint="eastAsia" w:ascii="楷体_GB2312" w:eastAsia="楷体_GB2312" w:cs="楷体_GB2312"/>
          <w:sz w:val="24"/>
        </w:rPr>
        <w:t>簿记管理人</w:t>
      </w:r>
      <w:r>
        <w:rPr>
          <w:rFonts w:eastAsia="楷体_GB2312"/>
          <w:sz w:val="24"/>
        </w:rPr>
        <w:t>”</w:t>
      </w:r>
      <w:r>
        <w:rPr>
          <w:rFonts w:hint="eastAsia" w:ascii="楷体_GB2312" w:eastAsia="楷体_GB2312" w:cs="楷体_GB2312"/>
          <w:sz w:val="24"/>
        </w:rPr>
        <w:t>指定的银行账户之日。具体日期以“发行文件</w:t>
      </w:r>
      <w:r>
        <w:rPr>
          <w:rFonts w:hint="eastAsia" w:eastAsia="楷体_GB2312"/>
          <w:sz w:val="24"/>
        </w:rPr>
        <w:t>”</w:t>
      </w:r>
      <w:r>
        <w:rPr>
          <w:rFonts w:hint="eastAsia" w:ascii="楷体_GB2312" w:eastAsia="楷体_GB2312" w:cs="楷体_GB2312"/>
          <w:sz w:val="24"/>
        </w:rPr>
        <w:t>所载日期为准。</w:t>
      </w:r>
    </w:p>
    <w:p>
      <w:pPr>
        <w:numPr>
          <w:ilvl w:val="1"/>
          <w:numId w:val="2"/>
        </w:numPr>
        <w:adjustRightInd w:val="0"/>
        <w:spacing w:beforeLines="50" w:afterLines="50" w:line="240" w:lineRule="atLeast"/>
        <w:ind w:left="851" w:hanging="851"/>
        <w:textAlignment w:val="baseline"/>
        <w:rPr>
          <w:rFonts w:eastAsia="楷体_GB2312"/>
          <w:sz w:val="24"/>
        </w:rPr>
      </w:pPr>
      <w:r>
        <w:rPr>
          <w:rFonts w:eastAsia="楷体_GB2312"/>
          <w:b/>
          <w:bCs/>
          <w:sz w:val="24"/>
        </w:rPr>
        <w:t>募集资金划付日：</w:t>
      </w:r>
      <w:r>
        <w:rPr>
          <w:rFonts w:eastAsia="楷体_GB2312"/>
          <w:sz w:val="24"/>
        </w:rPr>
        <w:t>就某一期“资产支持商业票据”的发行而言，系指</w:t>
      </w:r>
      <w:r>
        <w:rPr>
          <w:rFonts w:eastAsia="楷体_GB2312"/>
          <w:bCs/>
          <w:sz w:val="24"/>
        </w:rPr>
        <w:t>“簿记管理人”将“募集资金”全额划至“发行收入缴款账户”之日。</w:t>
      </w:r>
      <w:r>
        <w:rPr>
          <w:rFonts w:eastAsia="楷体_GB2312"/>
          <w:sz w:val="24"/>
        </w:rPr>
        <w:t>具体日期以“《承销协议》”的约定为准。</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信托财产交付日：</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将</w:t>
      </w:r>
      <w:r>
        <w:rPr>
          <w:rFonts w:eastAsia="楷体_GB2312"/>
          <w:bCs/>
          <w:sz w:val="24"/>
        </w:rPr>
        <w:t>“</w:t>
      </w:r>
      <w:r>
        <w:rPr>
          <w:rFonts w:hint="eastAsia" w:ascii="楷体_GB2312" w:eastAsia="楷体_GB2312" w:cs="楷体_GB2312"/>
          <w:bCs/>
          <w:sz w:val="24"/>
        </w:rPr>
        <w:t>初始资产</w:t>
      </w:r>
      <w:r>
        <w:rPr>
          <w:rFonts w:eastAsia="楷体_GB2312"/>
          <w:bCs/>
          <w:sz w:val="24"/>
        </w:rPr>
        <w:t>”</w:t>
      </w:r>
      <w:r>
        <w:rPr>
          <w:rFonts w:hint="eastAsia" w:ascii="楷体_GB2312" w:eastAsia="楷体_GB2312" w:cs="楷体_GB2312"/>
          <w:bCs/>
          <w:sz w:val="24"/>
        </w:rPr>
        <w:t>交付给</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之日。</w:t>
      </w:r>
      <w:r>
        <w:rPr>
          <w:rFonts w:eastAsia="楷体_GB2312"/>
          <w:bCs/>
          <w:sz w:val="24"/>
        </w:rPr>
        <w:t>“</w:t>
      </w:r>
      <w:r>
        <w:rPr>
          <w:rFonts w:hint="eastAsia" w:ascii="楷体_GB2312" w:eastAsia="楷体_GB2312" w:cs="楷体_GB2312"/>
          <w:bCs/>
          <w:sz w:val="24"/>
        </w:rPr>
        <w:t>信托财产交付日</w:t>
      </w:r>
      <w:r>
        <w:rPr>
          <w:rFonts w:eastAsia="楷体_GB2312"/>
          <w:bCs/>
          <w:sz w:val="24"/>
        </w:rPr>
        <w:t>”</w:t>
      </w:r>
      <w:r>
        <w:rPr>
          <w:rFonts w:hint="eastAsia" w:ascii="楷体_GB2312" w:eastAsia="楷体_GB2312" w:cs="楷体_GB2312"/>
          <w:bCs/>
          <w:sz w:val="24"/>
        </w:rPr>
        <w:t>的具体日期以</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所载日期为准。</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追加信托财产交付日：</w:t>
      </w:r>
      <w:r>
        <w:rPr>
          <w:rFonts w:hint="eastAsia" w:ascii="楷体_GB2312" w:eastAsia="楷体_GB2312" w:cs="楷体_GB2312"/>
          <w:bCs/>
          <w:sz w:val="24"/>
        </w:rPr>
        <w:t>就一次</w:t>
      </w:r>
      <w:r>
        <w:rPr>
          <w:rFonts w:eastAsia="楷体_GB2312"/>
          <w:bCs/>
          <w:sz w:val="24"/>
        </w:rPr>
        <w:t>“</w:t>
      </w:r>
      <w:r>
        <w:rPr>
          <w:rFonts w:hint="eastAsia" w:ascii="楷体_GB2312" w:eastAsia="楷体_GB2312" w:cs="楷体_GB2312"/>
          <w:bCs/>
          <w:sz w:val="24"/>
        </w:rPr>
        <w:t>追加交付</w:t>
      </w:r>
      <w:r>
        <w:rPr>
          <w:rFonts w:eastAsia="楷体_GB2312"/>
          <w:bCs/>
          <w:sz w:val="24"/>
        </w:rPr>
        <w:t>”</w:t>
      </w:r>
      <w:r>
        <w:rPr>
          <w:rFonts w:hint="eastAsia" w:ascii="楷体_GB2312" w:eastAsia="楷体_GB2312" w:cs="楷体_GB2312"/>
          <w:bCs/>
          <w:sz w:val="24"/>
        </w:rPr>
        <w:t>而言，系指</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将</w:t>
      </w:r>
      <w:r>
        <w:rPr>
          <w:rFonts w:eastAsia="楷体_GB2312"/>
          <w:bCs/>
          <w:sz w:val="24"/>
        </w:rPr>
        <w:t>“</w:t>
      </w:r>
      <w:r>
        <w:rPr>
          <w:rFonts w:hint="eastAsia" w:ascii="楷体_GB2312" w:eastAsia="楷体_GB2312" w:cs="楷体_GB2312"/>
          <w:bCs/>
          <w:sz w:val="24"/>
        </w:rPr>
        <w:t>追加资产</w:t>
      </w:r>
      <w:r>
        <w:rPr>
          <w:rFonts w:eastAsia="楷体_GB2312"/>
          <w:bCs/>
          <w:sz w:val="24"/>
        </w:rPr>
        <w:t>”</w:t>
      </w:r>
      <w:r>
        <w:rPr>
          <w:rFonts w:hint="eastAsia" w:ascii="楷体_GB2312" w:eastAsia="楷体_GB2312" w:cs="楷体_GB2312"/>
          <w:bCs/>
          <w:sz w:val="24"/>
        </w:rPr>
        <w:t>交付给</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之日。</w:t>
      </w:r>
      <w:r>
        <w:rPr>
          <w:rFonts w:eastAsia="楷体_GB2312"/>
          <w:bCs/>
          <w:sz w:val="24"/>
        </w:rPr>
        <w:t>“</w:t>
      </w:r>
      <w:r>
        <w:rPr>
          <w:rFonts w:hint="eastAsia" w:ascii="楷体_GB2312" w:eastAsia="楷体_GB2312" w:cs="楷体_GB2312"/>
          <w:bCs/>
          <w:sz w:val="24"/>
        </w:rPr>
        <w:t>追加信托财产交付日</w:t>
      </w:r>
      <w:r>
        <w:rPr>
          <w:rFonts w:eastAsia="楷体_GB2312"/>
          <w:bCs/>
          <w:sz w:val="24"/>
        </w:rPr>
        <w:t>”</w:t>
      </w:r>
      <w:r>
        <w:rPr>
          <w:rFonts w:hint="eastAsia" w:ascii="楷体_GB2312" w:eastAsia="楷体_GB2312" w:cs="楷体_GB2312"/>
          <w:bCs/>
          <w:sz w:val="24"/>
        </w:rPr>
        <w:t>为【对应的</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中，前一期</w:t>
      </w:r>
      <w:r>
        <w:rPr>
          <w:rFonts w:eastAsia="楷体_GB2312"/>
          <w:bCs/>
          <w:sz w:val="24"/>
        </w:rPr>
        <w:t>“</w:t>
      </w:r>
      <w:r>
        <w:rPr>
          <w:rFonts w:hint="eastAsia" w:ascii="楷体_GB2312" w:eastAsia="楷体_GB2312" w:cs="楷体_GB2312"/>
          <w:bCs/>
          <w:sz w:val="24"/>
        </w:rPr>
        <w:t>优先级资产商业票据</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到期日</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信托生效日：</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第【</w:t>
      </w:r>
      <w:r>
        <w:rPr>
          <w:rFonts w:eastAsia="楷体_GB2312"/>
          <w:bCs/>
          <w:sz w:val="24"/>
        </w:rPr>
        <w:t>3.6</w:t>
      </w:r>
      <w:bookmarkStart w:id="17" w:name="_Hlk507250516"/>
      <w:bookmarkEnd w:id="17"/>
      <w:r>
        <w:rPr>
          <w:rFonts w:hint="eastAsia" w:ascii="楷体_GB2312" w:eastAsia="楷体_GB2312" w:cs="楷体_GB2312"/>
          <w:bCs/>
          <w:sz w:val="24"/>
        </w:rPr>
        <w:t>】款约定的条件均满足时信托生效之日。在本</w:t>
      </w:r>
      <w:r>
        <w:rPr>
          <w:rFonts w:eastAsia="楷体_GB2312"/>
          <w:bCs/>
          <w:sz w:val="24"/>
        </w:rPr>
        <w:t>“</w:t>
      </w:r>
      <w:r>
        <w:rPr>
          <w:rFonts w:hint="eastAsia" w:ascii="楷体_GB2312" w:eastAsia="楷体_GB2312" w:cs="楷体_GB2312"/>
          <w:bCs/>
          <w:sz w:val="24"/>
        </w:rPr>
        <w:t>信托</w:t>
      </w:r>
      <w:r>
        <w:rPr>
          <w:rFonts w:eastAsia="楷体_GB2312"/>
          <w:bCs/>
          <w:sz w:val="24"/>
        </w:rPr>
        <w:t>”</w:t>
      </w:r>
      <w:r>
        <w:rPr>
          <w:rFonts w:hint="eastAsia" w:ascii="楷体_GB2312" w:eastAsia="楷体_GB2312" w:cs="楷体_GB2312"/>
          <w:bCs/>
          <w:sz w:val="24"/>
        </w:rPr>
        <w:t>中，</w:t>
      </w:r>
      <w:r>
        <w:rPr>
          <w:rFonts w:eastAsia="楷体_GB2312"/>
          <w:bCs/>
          <w:sz w:val="24"/>
        </w:rPr>
        <w:t>“</w:t>
      </w:r>
      <w:r>
        <w:rPr>
          <w:rFonts w:hint="eastAsia" w:ascii="楷体_GB2312" w:eastAsia="楷体_GB2312" w:cs="楷体_GB2312"/>
          <w:bCs/>
          <w:sz w:val="24"/>
        </w:rPr>
        <w:t>信托财产交付日</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信托生效日</w:t>
      </w:r>
      <w:r>
        <w:rPr>
          <w:rFonts w:eastAsia="楷体_GB2312"/>
          <w:bCs/>
          <w:sz w:val="24"/>
        </w:rPr>
        <w:t>”</w:t>
      </w:r>
      <w:r>
        <w:rPr>
          <w:rFonts w:hint="eastAsia" w:ascii="楷体_GB2312" w:eastAsia="楷体_GB2312" w:cs="楷体_GB2312"/>
          <w:bCs/>
          <w:sz w:val="24"/>
        </w:rPr>
        <w:t>为同一日。</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计算日：</w:t>
      </w:r>
      <w:r>
        <w:rPr>
          <w:rFonts w:hint="eastAsia" w:ascii="楷体_GB2312" w:eastAsia="楷体_GB2312" w:cs="楷体_GB2312"/>
          <w:bCs/>
          <w:sz w:val="24"/>
        </w:rPr>
        <w:t>系指【每个</w:t>
      </w:r>
      <w:r>
        <w:rPr>
          <w:rFonts w:eastAsia="楷体_GB2312"/>
          <w:bCs/>
          <w:sz w:val="24"/>
        </w:rPr>
        <w:t>“</w:t>
      </w:r>
      <w:r>
        <w:rPr>
          <w:rFonts w:hint="eastAsia" w:ascii="楷体_GB2312" w:eastAsia="楷体_GB2312" w:cs="楷体_GB2312"/>
          <w:bCs/>
          <w:sz w:val="24"/>
        </w:rPr>
        <w:t>支付日</w:t>
      </w:r>
      <w:r>
        <w:rPr>
          <w:rFonts w:eastAsia="楷体_GB2312"/>
          <w:bCs/>
          <w:sz w:val="24"/>
        </w:rPr>
        <w:t>”</w:t>
      </w:r>
      <w:r>
        <w:rPr>
          <w:rFonts w:hint="eastAsia" w:ascii="楷体_GB2312" w:eastAsia="楷体_GB2312" w:cs="楷体_GB2312"/>
          <w:bCs/>
          <w:sz w:val="24"/>
        </w:rPr>
        <w:t>所在自然月前【】个月的最后</w:t>
      </w:r>
      <w:bookmarkStart w:id="18" w:name="_Hlk507250533"/>
      <w:r>
        <w:rPr>
          <w:rFonts w:hint="eastAsia" w:ascii="楷体_GB2312" w:eastAsia="楷体_GB2312" w:cs="楷体_GB2312"/>
          <w:bCs/>
          <w:sz w:val="24"/>
        </w:rPr>
        <w:t>一日】。</w:t>
      </w:r>
      <w:bookmarkEnd w:id="18"/>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计算日</w:t>
      </w:r>
      <w:r>
        <w:rPr>
          <w:rFonts w:hint="eastAsia" w:ascii="楷体_GB2312" w:eastAsia="楷体_GB2312" w:cs="楷体_GB2312"/>
          <w:b/>
          <w:i/>
          <w:color w:val="FF0000"/>
          <w:sz w:val="24"/>
          <w:u w:val="single"/>
          <w:lang w:val="en-US" w:eastAsia="zh-CN"/>
        </w:rPr>
        <w:t>因</w:t>
      </w:r>
      <w:r>
        <w:rPr>
          <w:rFonts w:hint="eastAsia" w:ascii="楷体_GB2312" w:eastAsia="楷体_GB2312" w:cs="楷体_GB2312"/>
          <w:b/>
          <w:i/>
          <w:color w:val="FF0000"/>
          <w:sz w:val="24"/>
          <w:u w:val="single"/>
        </w:rPr>
        <w:t>根据实际情况合理设置，充分考虑滚动发行有关事宜的所需时间。</w:t>
      </w:r>
    </w:p>
    <w:p>
      <w:pPr>
        <w:numPr>
          <w:ilvl w:val="1"/>
          <w:numId w:val="2"/>
        </w:numPr>
        <w:adjustRightInd w:val="0"/>
        <w:spacing w:beforeLines="50" w:afterLines="50" w:line="240" w:lineRule="atLeast"/>
        <w:ind w:left="851" w:hanging="851"/>
        <w:textAlignment w:val="baseline"/>
        <w:rPr>
          <w:rFonts w:eastAsia="楷体_GB2312"/>
          <w:bCs/>
          <w:sz w:val="24"/>
        </w:rPr>
      </w:pPr>
      <w:r>
        <w:rPr>
          <w:rFonts w:eastAsia="楷体_GB2312"/>
          <w:b/>
          <w:bCs/>
          <w:sz w:val="24"/>
        </w:rPr>
        <w:t>回收款转付日：</w:t>
      </w:r>
      <w:r>
        <w:rPr>
          <w:rFonts w:eastAsia="楷体_GB2312"/>
          <w:bCs/>
          <w:sz w:val="24"/>
        </w:rPr>
        <w:t>系指“资产服务</w:t>
      </w:r>
      <w:bookmarkStart w:id="19" w:name="_Hlk507331668"/>
      <w:r>
        <w:rPr>
          <w:rFonts w:eastAsia="楷体_GB2312"/>
          <w:bCs/>
          <w:sz w:val="24"/>
        </w:rPr>
        <w:t>机构”将收到的“回收款”</w:t>
      </w:r>
      <w:bookmarkEnd w:id="19"/>
      <w:r>
        <w:rPr>
          <w:rFonts w:eastAsia="楷体_GB2312"/>
          <w:bCs/>
          <w:sz w:val="24"/>
        </w:rPr>
        <w:t>自“监管账户”划付至“信托账户”之日。“回收款转付日”按照如下规则确定：</w:t>
      </w:r>
    </w:p>
    <w:p>
      <w:pPr>
        <w:numPr>
          <w:ilvl w:val="1"/>
          <w:numId w:val="7"/>
        </w:numPr>
        <w:autoSpaceDE w:val="0"/>
        <w:autoSpaceDN w:val="0"/>
        <w:adjustRightInd w:val="0"/>
        <w:spacing w:beforeLines="50" w:afterLines="50" w:line="240" w:lineRule="atLeast"/>
        <w:ind w:left="993" w:hanging="426"/>
        <w:rPr>
          <w:rFonts w:eastAsia="楷体_GB2312"/>
          <w:kern w:val="0"/>
          <w:sz w:val="24"/>
        </w:rPr>
      </w:pPr>
      <w:r>
        <w:rPr>
          <w:rFonts w:hint="eastAsia" w:ascii="楷体_GB2312" w:eastAsia="楷体_GB2312" w:cs="楷体_GB2312"/>
          <w:kern w:val="0"/>
          <w:sz w:val="24"/>
        </w:rPr>
        <w:t>当</w:t>
      </w:r>
      <w:r>
        <w:rPr>
          <w:rFonts w:eastAsia="楷体_GB2312"/>
          <w:kern w:val="0"/>
          <w:sz w:val="24"/>
        </w:rPr>
        <w:t>“</w:t>
      </w:r>
      <w:r>
        <w:rPr>
          <w:rFonts w:hint="eastAsia" w:ascii="楷体_GB2312" w:eastAsia="楷体_GB2312" w:cs="楷体_GB2312"/>
          <w:kern w:val="0"/>
          <w:sz w:val="24"/>
        </w:rPr>
        <w:t>【评级机构简称】</w:t>
      </w:r>
      <w:r>
        <w:rPr>
          <w:rFonts w:eastAsia="楷体_GB2312"/>
          <w:kern w:val="0"/>
          <w:sz w:val="24"/>
        </w:rPr>
        <w:t>”</w:t>
      </w:r>
      <w:r>
        <w:rPr>
          <w:rFonts w:hint="eastAsia" w:ascii="楷体_GB2312" w:eastAsia="楷体_GB2312" w:cs="楷体_GB2312"/>
          <w:kern w:val="0"/>
          <w:sz w:val="24"/>
        </w:rPr>
        <w:t>给予</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bookmarkStart w:id="20" w:name="_Hlk507331697"/>
      <w:r>
        <w:rPr>
          <w:rFonts w:hint="eastAsia" w:ascii="楷体_GB2312" w:eastAsia="楷体_GB2312" w:cs="楷体_GB2312"/>
          <w:kern w:val="0"/>
          <w:sz w:val="24"/>
        </w:rPr>
        <w:t>的主体长期信用等级高于或等于【】级时，</w:t>
      </w:r>
      <w:r>
        <w:rPr>
          <w:rFonts w:eastAsia="楷体_GB2312"/>
          <w:kern w:val="0"/>
          <w:sz w:val="24"/>
        </w:rPr>
        <w:t>“</w:t>
      </w:r>
      <w:r>
        <w:rPr>
          <w:rFonts w:hint="eastAsia" w:ascii="楷体_GB2312" w:eastAsia="楷体_GB2312" w:cs="楷体_GB2312"/>
          <w:kern w:val="0"/>
          <w:sz w:val="24"/>
        </w:rPr>
        <w:t>回收款转付日</w:t>
      </w:r>
      <w:r>
        <w:rPr>
          <w:rFonts w:eastAsia="楷体_GB2312"/>
          <w:kern w:val="0"/>
          <w:sz w:val="24"/>
        </w:rPr>
        <w:t>”</w:t>
      </w:r>
      <w:r>
        <w:rPr>
          <w:rFonts w:hint="eastAsia" w:ascii="楷体_GB2312" w:eastAsia="楷体_GB2312" w:cs="楷体_GB2312"/>
          <w:kern w:val="0"/>
          <w:sz w:val="24"/>
        </w:rPr>
        <w:t>为每个</w:t>
      </w:r>
      <w:r>
        <w:rPr>
          <w:rFonts w:eastAsia="楷体_GB2312"/>
          <w:kern w:val="0"/>
          <w:sz w:val="24"/>
        </w:rPr>
        <w:t>“</w:t>
      </w:r>
      <w:r>
        <w:rPr>
          <w:rFonts w:hint="eastAsia" w:ascii="楷体_GB2312" w:eastAsia="楷体_GB2312" w:cs="楷体_GB2312"/>
          <w:kern w:val="0"/>
          <w:sz w:val="24"/>
        </w:rPr>
        <w:t>计算日</w:t>
      </w:r>
      <w:r>
        <w:rPr>
          <w:rFonts w:eastAsia="楷体_GB2312"/>
          <w:kern w:val="0"/>
          <w:sz w:val="24"/>
        </w:rPr>
        <w:t>”</w:t>
      </w:r>
      <w:r>
        <w:rPr>
          <w:rFonts w:hint="eastAsia" w:ascii="楷体_GB2312" w:eastAsia="楷体_GB2312" w:cs="楷体_GB2312"/>
          <w:kern w:val="0"/>
          <w:sz w:val="24"/>
        </w:rPr>
        <w:t>后的第</w:t>
      </w:r>
      <w:bookmarkEnd w:id="20"/>
      <w:r>
        <w:rPr>
          <w:rFonts w:hint="eastAsia" w:ascii="楷体_GB2312" w:eastAsia="楷体_GB2312" w:cs="楷体_GB2312"/>
          <w:kern w:val="0"/>
          <w:sz w:val="24"/>
        </w:rPr>
        <w:t>【】个</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 xml:space="preserve">； </w:t>
      </w:r>
    </w:p>
    <w:p>
      <w:pPr>
        <w:numPr>
          <w:ilvl w:val="1"/>
          <w:numId w:val="7"/>
        </w:numPr>
        <w:autoSpaceDE w:val="0"/>
        <w:autoSpaceDN w:val="0"/>
        <w:adjustRightInd w:val="0"/>
        <w:spacing w:beforeLines="50" w:afterLines="50" w:line="240" w:lineRule="atLeast"/>
        <w:ind w:left="993" w:hanging="426"/>
        <w:rPr>
          <w:rFonts w:eastAsia="楷体_GB2312"/>
          <w:kern w:val="0"/>
          <w:sz w:val="24"/>
        </w:rPr>
      </w:pPr>
      <w:r>
        <w:rPr>
          <w:rFonts w:hint="eastAsia" w:ascii="楷体_GB2312" w:eastAsia="楷体_GB2312" w:cs="楷体_GB2312"/>
          <w:kern w:val="0"/>
          <w:sz w:val="24"/>
        </w:rPr>
        <w:t>自</w:t>
      </w:r>
      <w:r>
        <w:rPr>
          <w:rFonts w:eastAsia="楷体_GB2312"/>
          <w:kern w:val="0"/>
          <w:sz w:val="24"/>
        </w:rPr>
        <w:t>“</w:t>
      </w:r>
      <w:r>
        <w:rPr>
          <w:rFonts w:hint="eastAsia" w:ascii="楷体_GB2312" w:eastAsia="楷体_GB2312" w:cs="楷体_GB2312"/>
          <w:kern w:val="0"/>
          <w:sz w:val="24"/>
        </w:rPr>
        <w:t>【评级机构简称】</w:t>
      </w:r>
      <w:r>
        <w:rPr>
          <w:rFonts w:eastAsia="楷体_GB2312"/>
          <w:kern w:val="0"/>
          <w:sz w:val="24"/>
        </w:rPr>
        <w:t>”</w:t>
      </w:r>
      <w:r>
        <w:rPr>
          <w:rFonts w:hint="eastAsia" w:ascii="楷体_GB2312" w:eastAsia="楷体_GB2312" w:cs="楷体_GB2312"/>
          <w:kern w:val="0"/>
          <w:sz w:val="24"/>
        </w:rPr>
        <w:t>给予</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的主体长期信用等级低于【】级之日起，</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将根据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的约定通知</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【保证人】</w:t>
      </w:r>
      <w:r>
        <w:rPr>
          <w:rFonts w:eastAsia="楷体_GB2312"/>
          <w:kern w:val="0"/>
          <w:sz w:val="24"/>
        </w:rPr>
        <w:t>”</w:t>
      </w:r>
      <w:r>
        <w:rPr>
          <w:rFonts w:hint="eastAsia" w:ascii="楷体_GB2312" w:eastAsia="楷体_GB2312" w:cs="楷体_GB2312"/>
          <w:kern w:val="0"/>
          <w:sz w:val="24"/>
        </w:rPr>
        <w:t>将其应支付的款项支付至</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。如发生</w:t>
      </w:r>
      <w:r>
        <w:rPr>
          <w:rFonts w:eastAsia="楷体_GB2312"/>
          <w:kern w:val="0"/>
          <w:sz w:val="24"/>
        </w:rPr>
        <w:t>“</w:t>
      </w:r>
      <w:r>
        <w:rPr>
          <w:rFonts w:hint="eastAsia" w:ascii="楷体_GB2312" w:eastAsia="楷体_GB2312" w:cs="楷体_GB2312"/>
          <w:kern w:val="0"/>
          <w:sz w:val="24"/>
        </w:rPr>
        <w:t>权利完善事件</w:t>
      </w:r>
      <w:r>
        <w:rPr>
          <w:rFonts w:eastAsia="楷体_GB2312"/>
          <w:kern w:val="0"/>
          <w:sz w:val="24"/>
        </w:rPr>
        <w:t>”</w:t>
      </w:r>
      <w:r>
        <w:rPr>
          <w:rFonts w:hint="eastAsia" w:ascii="楷体_GB2312" w:eastAsia="楷体_GB2312" w:cs="楷体_GB2312"/>
          <w:kern w:val="0"/>
          <w:sz w:val="24"/>
        </w:rPr>
        <w:t>后，</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【保证人】</w:t>
      </w:r>
      <w:r>
        <w:rPr>
          <w:rFonts w:eastAsia="楷体_GB2312"/>
          <w:kern w:val="0"/>
          <w:sz w:val="24"/>
        </w:rPr>
        <w:t>”</w:t>
      </w:r>
      <w:r>
        <w:rPr>
          <w:rFonts w:hint="eastAsia" w:ascii="楷体_GB2312" w:eastAsia="楷体_GB2312" w:cs="楷体_GB2312"/>
          <w:kern w:val="0"/>
          <w:sz w:val="24"/>
        </w:rPr>
        <w:t>（如有）仍将</w:t>
      </w:r>
      <w:r>
        <w:rPr>
          <w:rFonts w:eastAsia="楷体_GB2312"/>
          <w:kern w:val="0"/>
          <w:sz w:val="24"/>
        </w:rPr>
        <w:t>“</w:t>
      </w:r>
      <w:r>
        <w:rPr>
          <w:rFonts w:hint="eastAsia" w:ascii="楷体_GB2312" w:eastAsia="楷体_GB2312" w:cs="楷体_GB2312"/>
          <w:kern w:val="0"/>
          <w:sz w:val="24"/>
        </w:rPr>
        <w:t>回收款</w:t>
      </w:r>
      <w:r>
        <w:rPr>
          <w:rFonts w:eastAsia="楷体_GB2312"/>
          <w:kern w:val="0"/>
          <w:sz w:val="24"/>
        </w:rPr>
        <w:t>”</w:t>
      </w:r>
      <w:r>
        <w:rPr>
          <w:rFonts w:hint="eastAsia" w:ascii="楷体_GB2312" w:eastAsia="楷体_GB2312" w:cs="楷体_GB2312"/>
          <w:kern w:val="0"/>
          <w:sz w:val="24"/>
        </w:rPr>
        <w:t>划付至</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，则</w:t>
      </w:r>
      <w:r>
        <w:rPr>
          <w:rFonts w:eastAsia="楷体_GB2312"/>
          <w:kern w:val="0"/>
          <w:sz w:val="24"/>
        </w:rPr>
        <w:t>“</w:t>
      </w:r>
      <w:r>
        <w:rPr>
          <w:rFonts w:hint="eastAsia" w:ascii="楷体_GB2312" w:eastAsia="楷体_GB2312" w:cs="楷体_GB2312"/>
          <w:kern w:val="0"/>
          <w:sz w:val="24"/>
        </w:rPr>
        <w:t>回收款转付日</w:t>
      </w:r>
      <w:r>
        <w:rPr>
          <w:rFonts w:eastAsia="楷体_GB2312"/>
          <w:kern w:val="0"/>
          <w:sz w:val="24"/>
        </w:rPr>
        <w:t>”</w:t>
      </w:r>
      <w:r>
        <w:rPr>
          <w:rFonts w:hint="eastAsia" w:ascii="楷体_GB2312" w:eastAsia="楷体_GB2312" w:cs="楷体_GB2312"/>
          <w:kern w:val="0"/>
          <w:sz w:val="24"/>
        </w:rPr>
        <w:t>为</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收到每笔</w:t>
      </w:r>
      <w:r>
        <w:rPr>
          <w:rFonts w:eastAsia="楷体_GB2312"/>
          <w:kern w:val="0"/>
          <w:sz w:val="24"/>
        </w:rPr>
        <w:t>“</w:t>
      </w:r>
      <w:r>
        <w:rPr>
          <w:rFonts w:hint="eastAsia" w:ascii="楷体_GB2312" w:eastAsia="楷体_GB2312" w:cs="楷体_GB2312"/>
          <w:kern w:val="0"/>
          <w:sz w:val="24"/>
        </w:rPr>
        <w:t>回收款</w:t>
      </w:r>
      <w:r>
        <w:rPr>
          <w:rFonts w:eastAsia="楷体_GB2312"/>
          <w:kern w:val="0"/>
          <w:sz w:val="24"/>
        </w:rPr>
        <w:t>”</w:t>
      </w:r>
      <w:r>
        <w:rPr>
          <w:rFonts w:hint="eastAsia" w:ascii="楷体_GB2312" w:eastAsia="楷体_GB2312" w:cs="楷体_GB2312"/>
          <w:kern w:val="0"/>
          <w:sz w:val="24"/>
        </w:rPr>
        <w:t>后【】个</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内的任一</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w:t>
      </w:r>
    </w:p>
    <w:p>
      <w:pPr>
        <w:adjustRightInd w:val="0"/>
        <w:spacing w:beforeLines="50" w:afterLines="50" w:line="240" w:lineRule="atLeast"/>
        <w:ind w:left="851"/>
        <w:textAlignment w:val="baseline"/>
        <w:rPr>
          <w:rFonts w:eastAsia="楷体_GB2312"/>
          <w:bCs/>
          <w:sz w:val="24"/>
        </w:rPr>
      </w:pPr>
      <w:r>
        <w:rPr>
          <w:rFonts w:hint="eastAsia" w:ascii="楷体_GB2312" w:eastAsia="楷体_GB2312" w:cs="楷体_GB2312"/>
          <w:bCs/>
          <w:sz w:val="24"/>
        </w:rPr>
        <w:t>如果上述</w:t>
      </w:r>
      <w:r>
        <w:rPr>
          <w:rFonts w:eastAsia="楷体_GB2312"/>
          <w:bCs/>
          <w:sz w:val="24"/>
        </w:rPr>
        <w:t>“</w:t>
      </w:r>
      <w:r>
        <w:rPr>
          <w:rFonts w:hint="eastAsia" w:ascii="楷体_GB2312" w:eastAsia="楷体_GB2312" w:cs="楷体_GB2312"/>
          <w:bCs/>
          <w:sz w:val="24"/>
        </w:rPr>
        <w:t>评级机构</w:t>
      </w:r>
      <w:r>
        <w:rPr>
          <w:rFonts w:eastAsia="楷体_GB2312"/>
          <w:bCs/>
          <w:sz w:val="24"/>
        </w:rPr>
        <w:t>”</w:t>
      </w:r>
      <w:r>
        <w:rPr>
          <w:rFonts w:hint="eastAsia" w:ascii="楷体_GB2312" w:eastAsia="楷体_GB2312" w:cs="楷体_GB2312"/>
          <w:bCs/>
          <w:sz w:val="24"/>
        </w:rPr>
        <w:t>给予</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的主体长期信用等级在某一</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内发生变化且因此需要改变</w:t>
      </w:r>
      <w:r>
        <w:rPr>
          <w:rFonts w:eastAsia="楷体_GB2312"/>
          <w:bCs/>
          <w:sz w:val="24"/>
        </w:rPr>
        <w:t>“</w:t>
      </w:r>
      <w:r>
        <w:rPr>
          <w:rFonts w:hint="eastAsia" w:ascii="楷体_GB2312" w:eastAsia="楷体_GB2312" w:cs="楷体_GB2312"/>
          <w:bCs/>
          <w:sz w:val="24"/>
        </w:rPr>
        <w:t>回收款转付日</w:t>
      </w:r>
      <w:r>
        <w:rPr>
          <w:rFonts w:eastAsia="楷体_GB2312"/>
          <w:bCs/>
          <w:sz w:val="24"/>
        </w:rPr>
        <w:t>”</w:t>
      </w:r>
      <w:r>
        <w:rPr>
          <w:rFonts w:hint="eastAsia" w:ascii="楷体_GB2312" w:eastAsia="楷体_GB2312" w:cs="楷体_GB2312"/>
          <w:bCs/>
          <w:sz w:val="24"/>
        </w:rPr>
        <w:t>时，自该</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届满之日起，相关</w:t>
      </w:r>
      <w:r>
        <w:rPr>
          <w:rFonts w:eastAsia="楷体_GB2312"/>
          <w:bCs/>
          <w:sz w:val="24"/>
        </w:rPr>
        <w:t>“</w:t>
      </w:r>
      <w:r>
        <w:rPr>
          <w:rFonts w:hint="eastAsia" w:ascii="楷体_GB2312" w:eastAsia="楷体_GB2312" w:cs="楷体_GB2312"/>
          <w:bCs/>
          <w:sz w:val="24"/>
        </w:rPr>
        <w:t>回收款转付日</w:t>
      </w:r>
      <w:r>
        <w:rPr>
          <w:rFonts w:eastAsia="楷体_GB2312"/>
          <w:bCs/>
          <w:sz w:val="24"/>
        </w:rPr>
        <w:t>”</w:t>
      </w:r>
      <w:r>
        <w:rPr>
          <w:rFonts w:hint="eastAsia" w:ascii="楷体_GB2312" w:eastAsia="楷体_GB2312" w:cs="楷体_GB2312"/>
          <w:bCs/>
          <w:sz w:val="24"/>
        </w:rPr>
        <w:t>按照前述规则进行相应的改变。</w:t>
      </w:r>
      <w:r>
        <w:rPr>
          <w:rFonts w:eastAsia="楷体_GB2312"/>
          <w:bCs/>
          <w:sz w:val="24"/>
        </w:rPr>
        <w:t>“</w:t>
      </w:r>
      <w:r>
        <w:rPr>
          <w:rFonts w:hint="eastAsia" w:ascii="楷体_GB2312" w:eastAsia="楷体_GB2312" w:cs="楷体_GB2312"/>
          <w:bCs/>
          <w:sz w:val="24"/>
        </w:rPr>
        <w:t>回收款转付日</w:t>
      </w:r>
      <w:r>
        <w:rPr>
          <w:rFonts w:eastAsia="楷体_GB2312"/>
          <w:bCs/>
          <w:sz w:val="24"/>
        </w:rPr>
        <w:t>”</w:t>
      </w:r>
      <w:r>
        <w:rPr>
          <w:rFonts w:hint="eastAsia" w:ascii="楷体_GB2312" w:eastAsia="楷体_GB2312" w:cs="楷体_GB2312"/>
          <w:bCs/>
          <w:sz w:val="24"/>
        </w:rPr>
        <w:t>发生上述改变之后，即使</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的主体长期信用评级重新提高，</w:t>
      </w:r>
      <w:r>
        <w:rPr>
          <w:rFonts w:eastAsia="楷体_GB2312"/>
          <w:bCs/>
          <w:sz w:val="24"/>
        </w:rPr>
        <w:t>“</w:t>
      </w:r>
      <w:r>
        <w:rPr>
          <w:rFonts w:hint="eastAsia" w:ascii="楷体_GB2312" w:eastAsia="楷体_GB2312" w:cs="楷体_GB2312"/>
          <w:bCs/>
          <w:sz w:val="24"/>
        </w:rPr>
        <w:t>回收款转付日</w:t>
      </w:r>
      <w:r>
        <w:rPr>
          <w:rFonts w:eastAsia="楷体_GB2312"/>
          <w:bCs/>
          <w:sz w:val="24"/>
        </w:rPr>
        <w:t>”</w:t>
      </w:r>
      <w:r>
        <w:rPr>
          <w:rFonts w:hint="eastAsia" w:ascii="楷体_GB2312" w:eastAsia="楷体_GB2312" w:cs="楷体_GB2312"/>
          <w:bCs/>
          <w:sz w:val="24"/>
        </w:rPr>
        <w:t>的频率也不再恢复。</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回收款转付日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根据实际情况合理设置。</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资产服务机构报告日：</w:t>
      </w:r>
      <w:r>
        <w:rPr>
          <w:rFonts w:hint="eastAsia" w:ascii="楷体_GB2312" w:eastAsia="楷体_GB2312" w:cs="楷体_GB2312"/>
          <w:sz w:val="24"/>
        </w:rPr>
        <w:t>系指每个</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前的第【】个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资金保管机构报告日：</w:t>
      </w:r>
      <w:r>
        <w:rPr>
          <w:rFonts w:hint="eastAsia" w:ascii="楷体_GB2312" w:eastAsia="楷体_GB2312" w:cs="楷体_GB2312"/>
          <w:sz w:val="24"/>
        </w:rPr>
        <w:t>系指每个</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前的第【】个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i/>
          <w:color w:val="FF0000"/>
          <w:sz w:val="24"/>
          <w:u w:val="single"/>
        </w:rPr>
      </w:pPr>
      <w:r>
        <w:rPr>
          <w:rFonts w:hint="eastAsia" w:ascii="楷体_GB2312" w:eastAsia="楷体_GB2312" w:cs="楷体_GB2312"/>
          <w:b/>
          <w:i/>
          <w:color w:val="FF0000"/>
          <w:sz w:val="24"/>
          <w:u w:val="single"/>
        </w:rPr>
        <w:t>服务机构报告日、资金保管机构报告日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信托核算日：</w:t>
      </w:r>
      <w:r>
        <w:rPr>
          <w:rFonts w:hint="eastAsia" w:ascii="楷体_GB2312" w:eastAsia="楷体_GB2312" w:cs="楷体_GB2312"/>
          <w:sz w:val="24"/>
        </w:rPr>
        <w:t>系指每个</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前的第【】个</w:t>
      </w:r>
      <w:r>
        <w:rPr>
          <w:rFonts w:eastAsia="楷体_GB2312"/>
          <w:bCs/>
          <w:sz w:val="24"/>
        </w:rPr>
        <w:t>“</w:t>
      </w:r>
      <w:r>
        <w:rPr>
          <w:rFonts w:hint="eastAsia" w:ascii="楷体_GB2312" w:eastAsia="楷体_GB2312" w:cs="楷体_GB2312"/>
          <w:bCs/>
          <w:sz w:val="24"/>
        </w:rPr>
        <w:t>工作日</w:t>
      </w:r>
      <w:r>
        <w:rPr>
          <w:rFonts w:eastAsia="楷体_GB2312"/>
          <w:bCs/>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信托分配日</w:t>
      </w:r>
      <w:r>
        <w:rPr>
          <w:rFonts w:hint="eastAsia" w:ascii="楷体_GB2312" w:eastAsia="楷体_GB2312" w:cs="楷体_GB2312"/>
          <w:sz w:val="24"/>
        </w:rPr>
        <w:t>：系指每个</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前的第【】个</w:t>
      </w:r>
      <w:r>
        <w:rPr>
          <w:rFonts w:eastAsia="楷体_GB2312"/>
          <w:bCs/>
          <w:sz w:val="24"/>
        </w:rPr>
        <w:t>“</w:t>
      </w:r>
      <w:r>
        <w:rPr>
          <w:rFonts w:hint="eastAsia" w:ascii="楷体_GB2312" w:eastAsia="楷体_GB2312" w:cs="楷体_GB2312"/>
          <w:bCs/>
          <w:sz w:val="24"/>
        </w:rPr>
        <w:t>工作日</w:t>
      </w:r>
      <w:r>
        <w:rPr>
          <w:rFonts w:eastAsia="楷体_GB2312"/>
          <w:bCs/>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【差额支付启动日】：</w:t>
      </w:r>
      <w:r>
        <w:rPr>
          <w:rFonts w:hint="eastAsia" w:ascii="楷体_GB2312" w:eastAsia="楷体_GB2312" w:cs="楷体_GB2312"/>
          <w:bCs/>
          <w:sz w:val="24"/>
        </w:rPr>
        <w:t>包括</w:t>
      </w:r>
      <w:r>
        <w:rPr>
          <w:rFonts w:eastAsia="楷体_GB2312"/>
          <w:bCs/>
          <w:sz w:val="24"/>
        </w:rPr>
        <w:t>“</w:t>
      </w:r>
      <w:r>
        <w:rPr>
          <w:rFonts w:hint="eastAsia" w:ascii="楷体_GB2312" w:eastAsia="楷体_GB2312" w:cs="楷体_GB2312"/>
          <w:bCs/>
          <w:sz w:val="24"/>
        </w:rPr>
        <w:t>【回收款差额支付启动日】</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【滚动发行差额支付启动日】</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【回收款差额支付启动日】：</w:t>
      </w:r>
      <w:r>
        <w:rPr>
          <w:rFonts w:hint="eastAsia" w:ascii="楷体_GB2312" w:eastAsia="楷体_GB2312" w:cs="楷体_GB2312"/>
          <w:bCs/>
          <w:sz w:val="24"/>
        </w:rPr>
        <w:t>系指因发生</w:t>
      </w:r>
      <w:r>
        <w:rPr>
          <w:rFonts w:eastAsia="楷体_GB2312"/>
          <w:bCs/>
          <w:sz w:val="24"/>
        </w:rPr>
        <w:t>“</w:t>
      </w:r>
      <w:r>
        <w:rPr>
          <w:rFonts w:hint="eastAsia" w:ascii="楷体_GB2312" w:eastAsia="楷体_GB2312" w:cs="楷体_GB2312"/>
          <w:bCs/>
          <w:sz w:val="24"/>
        </w:rPr>
        <w:t>【回收款差额支付启动事件】</w:t>
      </w:r>
      <w:r>
        <w:rPr>
          <w:rFonts w:eastAsia="楷体_GB2312"/>
          <w:bCs/>
          <w:sz w:val="24"/>
        </w:rPr>
        <w:t>”</w:t>
      </w:r>
      <w:r>
        <w:rPr>
          <w:rFonts w:hint="eastAsia" w:ascii="楷体_GB2312" w:eastAsia="楷体_GB2312" w:cs="楷体_GB2312"/>
          <w:bCs/>
          <w:sz w:val="24"/>
        </w:rPr>
        <w:t>，</w:t>
      </w:r>
      <w:r>
        <w:rPr>
          <w:rFonts w:eastAsia="楷体_GB2312"/>
          <w:bCs/>
          <w:sz w:val="24"/>
        </w:rPr>
        <w:t>“</w:t>
      </w:r>
      <w:r>
        <w:rPr>
          <w:rFonts w:hint="eastAsia" w:ascii="楷体_GB2312" w:eastAsia="楷体_GB2312" w:cs="楷体_GB2312"/>
          <w:bCs/>
          <w:sz w:val="24"/>
        </w:rPr>
        <w:t>受托人</w:t>
      </w:r>
      <w:r>
        <w:rPr>
          <w:rFonts w:eastAsia="楷体_GB2312"/>
          <w:bCs/>
          <w:sz w:val="24"/>
        </w:rPr>
        <w:t>”</w:t>
      </w:r>
      <w:r>
        <w:rPr>
          <w:rFonts w:hint="eastAsia" w:ascii="楷体_GB2312" w:eastAsia="楷体_GB2312" w:cs="楷体_GB2312"/>
          <w:bCs/>
          <w:sz w:val="24"/>
        </w:rPr>
        <w:t>通知</w:t>
      </w:r>
      <w:r>
        <w:rPr>
          <w:rFonts w:eastAsia="楷体_GB2312"/>
          <w:bCs/>
          <w:sz w:val="24"/>
        </w:rPr>
        <w:t>“</w:t>
      </w:r>
      <w:r>
        <w:rPr>
          <w:rFonts w:hint="eastAsia" w:ascii="楷体_GB2312" w:eastAsia="楷体_GB2312" w:cs="楷体_GB2312"/>
          <w:bCs/>
          <w:sz w:val="24"/>
        </w:rPr>
        <w:t>【差额支付承诺人】</w:t>
      </w:r>
      <w:r>
        <w:rPr>
          <w:rFonts w:eastAsia="楷体_GB2312"/>
          <w:bCs/>
          <w:sz w:val="24"/>
        </w:rPr>
        <w:t>”</w:t>
      </w:r>
      <w:r>
        <w:rPr>
          <w:rFonts w:hint="eastAsia" w:ascii="楷体_GB2312" w:eastAsia="楷体_GB2312" w:cs="楷体_GB2312"/>
          <w:bCs/>
          <w:sz w:val="24"/>
        </w:rPr>
        <w:t>履行</w:t>
      </w:r>
      <w:r>
        <w:rPr>
          <w:rFonts w:hint="eastAsia" w:eastAsia="楷体_GB2312"/>
          <w:bCs/>
          <w:sz w:val="24"/>
        </w:rPr>
        <w:t>“【差额支付承诺函】”相关付款义务</w:t>
      </w:r>
      <w:r>
        <w:rPr>
          <w:rFonts w:hint="eastAsia" w:ascii="楷体_GB2312" w:eastAsia="楷体_GB2312" w:cs="楷体_GB2312"/>
          <w:bCs/>
          <w:sz w:val="24"/>
        </w:rPr>
        <w:t>的日期</w:t>
      </w:r>
      <w:r>
        <w:rPr>
          <w:rFonts w:eastAsia="楷体_GB2312"/>
          <w:bCs/>
          <w:sz w:val="24"/>
        </w:rPr>
        <w:t xml:space="preserve"> ，即“</w:t>
      </w:r>
      <w:r>
        <w:rPr>
          <w:rFonts w:hint="eastAsia" w:ascii="楷体_GB2312" w:eastAsia="楷体_GB2312" w:cs="楷体_GB2312"/>
          <w:bCs/>
          <w:sz w:val="24"/>
        </w:rPr>
        <w:t>信托核算日</w:t>
      </w:r>
      <w:r>
        <w:rPr>
          <w:rFonts w:eastAsia="楷体_GB2312"/>
          <w:bCs/>
          <w:sz w:val="24"/>
        </w:rPr>
        <w:t>”</w:t>
      </w:r>
      <w:r>
        <w:rPr>
          <w:rFonts w:hint="eastAsia" w:ascii="楷体_GB2312" w:eastAsia="楷体_GB2312" w:cs="楷体_GB2312"/>
          <w:bCs/>
          <w:sz w:val="24"/>
        </w:rPr>
        <w:t>【当日】。</w:t>
      </w:r>
    </w:p>
    <w:p>
      <w:pPr>
        <w:numPr>
          <w:ilvl w:val="1"/>
          <w:numId w:val="2"/>
        </w:numPr>
        <w:adjustRightInd w:val="0"/>
        <w:spacing w:beforeLines="50" w:afterLines="50" w:line="240" w:lineRule="atLeast"/>
        <w:ind w:left="851" w:hanging="851"/>
        <w:textAlignment w:val="baseline"/>
        <w:rPr>
          <w:rFonts w:eastAsia="楷体_GB2312"/>
          <w:sz w:val="24"/>
        </w:rPr>
      </w:pPr>
      <w:r>
        <w:rPr>
          <w:rFonts w:eastAsia="楷体_GB2312"/>
          <w:b/>
          <w:bCs/>
          <w:sz w:val="24"/>
        </w:rPr>
        <w:t>【滚动发行差额支付启动日】：</w:t>
      </w:r>
      <w:r>
        <w:rPr>
          <w:rFonts w:eastAsia="楷体_GB2312"/>
          <w:bCs/>
          <w:sz w:val="24"/>
        </w:rPr>
        <w:t>系指因发生“【滚动发行差额支付启动事件】”，“受托人”通知“【差额支付承诺人】”履行“【差额支付承诺函】”相关付款义务的日期，即发生【“滚动发行差额支付启动事件”】【当日】。</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差额</w:t>
      </w:r>
      <w:bookmarkStart w:id="21" w:name="_Hlk55428617"/>
      <w:r>
        <w:rPr>
          <w:rFonts w:hint="eastAsia" w:ascii="楷体_GB2312" w:eastAsia="楷体_GB2312" w:cs="楷体_GB2312"/>
          <w:b/>
          <w:i/>
          <w:color w:val="FF0000"/>
          <w:sz w:val="24"/>
          <w:u w:val="single"/>
        </w:rPr>
        <w:t>支付启动日（包括回收款差</w:t>
      </w:r>
      <w:bookmarkEnd w:id="21"/>
      <w:r>
        <w:rPr>
          <w:rFonts w:hint="eastAsia" w:ascii="楷体_GB2312" w:eastAsia="楷体_GB2312" w:cs="楷体_GB2312"/>
          <w:b/>
          <w:i/>
          <w:color w:val="FF0000"/>
          <w:sz w:val="24"/>
          <w:u w:val="single"/>
        </w:rPr>
        <w:t>额支付启动日和滚动发行差额支付启动日）的命名</w:t>
      </w:r>
      <w:r>
        <w:rPr>
          <w:rFonts w:hint="eastAsia" w:ascii="楷体_GB2312" w:eastAsia="楷体_GB2312" w:cs="楷体_GB2312"/>
          <w:b/>
          <w:i/>
          <w:color w:val="FF0000"/>
          <w:sz w:val="24"/>
          <w:u w:val="single"/>
          <w:lang w:eastAsia="zh-CN"/>
        </w:rPr>
        <w:t>、</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根据实际情况调整。</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【差额支付承诺人】划款日：</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【差额支付承诺人】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发出的差额支付通知支付资金之日，即</w:t>
      </w:r>
      <w:r>
        <w:rPr>
          <w:rFonts w:eastAsia="楷体_GB2312"/>
          <w:sz w:val="24"/>
        </w:rPr>
        <w:t>“</w:t>
      </w:r>
      <w:r>
        <w:rPr>
          <w:rFonts w:hint="eastAsia" w:ascii="楷体_GB2312" w:eastAsia="楷体_GB2312" w:cs="楷体_GB2312"/>
          <w:sz w:val="24"/>
        </w:rPr>
        <w:t>【差额支付启动日】</w:t>
      </w:r>
      <w:r>
        <w:rPr>
          <w:rFonts w:eastAsia="楷体_GB2312"/>
          <w:sz w:val="24"/>
        </w:rPr>
        <w:t>”</w:t>
      </w:r>
      <w:r>
        <w:rPr>
          <w:rFonts w:hint="eastAsia" w:ascii="楷体_GB2312" w:eastAsia="楷体_GB2312" w:cs="楷体_GB2312"/>
          <w:sz w:val="24"/>
        </w:rPr>
        <w:t>的次【】个工作日。</w:t>
      </w:r>
    </w:p>
    <w:p>
      <w:pPr>
        <w:numPr>
          <w:ilvl w:val="1"/>
          <w:numId w:val="2"/>
        </w:numPr>
        <w:adjustRightInd w:val="0"/>
        <w:spacing w:beforeLines="50" w:afterLines="50" w:line="240" w:lineRule="atLeast"/>
        <w:ind w:left="851" w:hanging="851"/>
        <w:textAlignment w:val="baseline"/>
        <w:rPr>
          <w:rFonts w:eastAsia="楷体_GB2312"/>
          <w:b/>
          <w:bCs/>
          <w:color w:val="0000FF"/>
          <w:sz w:val="24"/>
          <w:u w:val="double"/>
        </w:rPr>
      </w:pPr>
      <w:r>
        <w:rPr>
          <w:rFonts w:hint="eastAsia" w:ascii="楷体_GB2312" w:eastAsia="楷体_GB2312" w:cs="楷体_GB2312"/>
          <w:b/>
          <w:bCs/>
          <w:sz w:val="24"/>
        </w:rPr>
        <w:t>资产运营报告日：</w:t>
      </w:r>
      <w:r>
        <w:rPr>
          <w:rFonts w:hint="eastAsia" w:ascii="楷体_GB2312" w:eastAsia="楷体_GB2312" w:cs="楷体_GB2312"/>
          <w:bCs/>
          <w:sz w:val="24"/>
        </w:rPr>
        <w:t>系指每个</w:t>
      </w:r>
      <w:r>
        <w:rPr>
          <w:rFonts w:eastAsia="楷体_GB2312"/>
          <w:sz w:val="24"/>
        </w:rPr>
        <w:t>“</w:t>
      </w:r>
      <w:r>
        <w:rPr>
          <w:rFonts w:hint="eastAsia" w:ascii="楷体_GB2312" w:eastAsia="楷体_GB2312" w:cs="楷体_GB2312"/>
          <w:bCs/>
          <w:sz w:val="24"/>
        </w:rPr>
        <w:t>支付日</w:t>
      </w:r>
      <w:r>
        <w:rPr>
          <w:rFonts w:eastAsia="楷体_GB2312"/>
          <w:sz w:val="24"/>
        </w:rPr>
        <w:t>”</w:t>
      </w:r>
      <w:r>
        <w:rPr>
          <w:rFonts w:hint="eastAsia" w:ascii="楷体_GB2312" w:eastAsia="楷体_GB2312" w:cs="楷体_GB2312"/>
          <w:bCs/>
          <w:sz w:val="24"/>
        </w:rPr>
        <w:t>前的第【】个</w:t>
      </w:r>
      <w:r>
        <w:rPr>
          <w:rFonts w:eastAsia="楷体_GB2312"/>
          <w:bCs/>
          <w:sz w:val="24"/>
        </w:rPr>
        <w:t>“</w:t>
      </w:r>
      <w:r>
        <w:rPr>
          <w:rFonts w:hint="eastAsia" w:ascii="楷体_GB2312" w:eastAsia="楷体_GB2312" w:cs="楷体_GB2312"/>
          <w:bCs/>
          <w:sz w:val="24"/>
        </w:rPr>
        <w:t>工作日</w:t>
      </w:r>
      <w:r>
        <w:rPr>
          <w:rFonts w:eastAsia="楷体_GB2312"/>
          <w:bCs/>
          <w:sz w:val="24"/>
        </w:rPr>
        <w:t>”</w:t>
      </w:r>
      <w:r>
        <w:rPr>
          <w:rFonts w:hint="eastAsia" w:ascii="楷体_GB2312" w:eastAsia="楷体_GB2312" w:cs="楷体_GB2312"/>
          <w:bCs/>
          <w:sz w:val="24"/>
        </w:rPr>
        <w:t>。</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资产运营报告日</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color w:val="0000FF"/>
          <w:sz w:val="24"/>
          <w:u w:val="double"/>
        </w:rPr>
      </w:pPr>
      <w:r>
        <w:rPr>
          <w:rFonts w:hint="eastAsia" w:ascii="楷体_GB2312" w:eastAsia="楷体_GB2312" w:cs="楷体_GB2312"/>
          <w:b/>
          <w:sz w:val="24"/>
        </w:rPr>
        <w:t>起息日：</w:t>
      </w:r>
      <w:r>
        <w:rPr>
          <w:rFonts w:hint="eastAsia" w:ascii="楷体_GB2312" w:eastAsia="楷体_GB2312" w:cs="楷体_GB2312"/>
          <w:bCs/>
          <w:sz w:val="24"/>
        </w:rPr>
        <w:t>由于</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可在</w:t>
      </w:r>
      <w:r>
        <w:rPr>
          <w:rFonts w:eastAsia="楷体_GB2312"/>
          <w:bCs/>
          <w:sz w:val="24"/>
        </w:rPr>
        <w:t>“</w:t>
      </w:r>
      <w:r>
        <w:rPr>
          <w:rFonts w:hint="eastAsia" w:ascii="楷体_GB2312" w:eastAsia="楷体_GB2312" w:cs="楷体_GB2312"/>
          <w:bCs/>
          <w:sz w:val="24"/>
        </w:rPr>
        <w:t>信托期限</w:t>
      </w:r>
      <w:r>
        <w:rPr>
          <w:rFonts w:eastAsia="楷体_GB2312"/>
          <w:bCs/>
          <w:sz w:val="24"/>
        </w:rPr>
        <w:t>”</w:t>
      </w:r>
      <w:r>
        <w:rPr>
          <w:rFonts w:hint="eastAsia" w:ascii="楷体_GB2312" w:eastAsia="楷体_GB2312" w:cs="楷体_GB2312"/>
          <w:bCs/>
          <w:sz w:val="24"/>
        </w:rPr>
        <w:t>内</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w:t>
      </w:r>
      <w:r>
        <w:rPr>
          <w:rFonts w:hint="eastAsia" w:ascii="楷体_GB2312" w:eastAsia="楷体_GB2312" w:cs="楷体_GB2312"/>
          <w:sz w:val="24"/>
        </w:rPr>
        <w:t>第一期各级</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起息日</w:t>
      </w:r>
      <w:r>
        <w:rPr>
          <w:rFonts w:eastAsia="楷体_GB2312"/>
          <w:sz w:val="24"/>
        </w:rPr>
        <w:t>”</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信托生效日</w:t>
      </w:r>
      <w:r>
        <w:rPr>
          <w:rFonts w:eastAsia="楷体_GB2312"/>
          <w:sz w:val="24"/>
        </w:rPr>
        <w:t>”</w:t>
      </w:r>
      <w:r>
        <w:rPr>
          <w:rFonts w:hint="eastAsia" w:ascii="楷体_GB2312" w:eastAsia="楷体_GB2312" w:cs="楷体_GB2312"/>
          <w:sz w:val="24"/>
        </w:rPr>
        <w:t>，</w:t>
      </w:r>
      <w:r>
        <w:rPr>
          <w:rFonts w:hint="eastAsia" w:ascii="楷体_GB2312" w:eastAsia="楷体_GB2312" w:cs="楷体_GB2312"/>
          <w:bCs/>
          <w:sz w:val="24"/>
        </w:rPr>
        <w:t>其余各期各级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w:t>
      </w:r>
      <w:r>
        <w:rPr>
          <w:rFonts w:eastAsia="楷体_GB2312"/>
          <w:sz w:val="24"/>
        </w:rPr>
        <w:t>“</w:t>
      </w:r>
      <w:r>
        <w:rPr>
          <w:rFonts w:hint="eastAsia" w:ascii="楷体_GB2312" w:eastAsia="楷体_GB2312" w:cs="楷体_GB2312"/>
          <w:sz w:val="24"/>
        </w:rPr>
        <w:t>起息日</w:t>
      </w:r>
      <w:r>
        <w:rPr>
          <w:rFonts w:eastAsia="楷体_GB2312"/>
          <w:sz w:val="24"/>
        </w:rPr>
        <w:t>”</w:t>
      </w:r>
      <w:r>
        <w:rPr>
          <w:rFonts w:hint="eastAsia" w:ascii="楷体_GB2312" w:eastAsia="楷体_GB2312" w:cs="楷体_GB2312"/>
          <w:bCs/>
          <w:sz w:val="24"/>
        </w:rPr>
        <w:t>以该期该级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对应的</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记载为准。</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支付日：</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w:t>
      </w:r>
      <w:r>
        <w:rPr>
          <w:rFonts w:hint="eastAsia" w:ascii="楷体_GB2312" w:eastAsia="楷体_GB2312" w:cs="楷体_GB2312"/>
          <w:bCs/>
          <w:sz w:val="24"/>
        </w:rPr>
        <w:t>由于</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可在</w:t>
      </w:r>
      <w:r>
        <w:rPr>
          <w:rFonts w:eastAsia="楷体_GB2312"/>
          <w:bCs/>
          <w:sz w:val="24"/>
        </w:rPr>
        <w:t>“</w:t>
      </w:r>
      <w:r>
        <w:rPr>
          <w:rFonts w:hint="eastAsia" w:ascii="楷体_GB2312" w:eastAsia="楷体_GB2312" w:cs="楷体_GB2312"/>
          <w:bCs/>
          <w:sz w:val="24"/>
        </w:rPr>
        <w:t>信托期限</w:t>
      </w:r>
      <w:r>
        <w:rPr>
          <w:rFonts w:eastAsia="楷体_GB2312"/>
          <w:bCs/>
          <w:sz w:val="24"/>
        </w:rPr>
        <w:t>”</w:t>
      </w:r>
      <w:r>
        <w:rPr>
          <w:rFonts w:hint="eastAsia" w:ascii="楷体_GB2312" w:eastAsia="楷体_GB2312" w:cs="楷体_GB2312"/>
          <w:bCs/>
          <w:sz w:val="24"/>
        </w:rPr>
        <w:t>内</w:t>
      </w:r>
      <w:r>
        <w:rPr>
          <w:rFonts w:eastAsia="楷体_GB2312"/>
          <w:bCs/>
          <w:sz w:val="24"/>
        </w:rPr>
        <w:t>“</w:t>
      </w:r>
      <w:r>
        <w:rPr>
          <w:rFonts w:hint="eastAsia" w:ascii="楷体_GB2312" w:eastAsia="楷体_GB2312" w:cs="楷体_GB2312"/>
          <w:bCs/>
          <w:sz w:val="24"/>
        </w:rPr>
        <w:t>滚动发行</w:t>
      </w:r>
      <w:r>
        <w:rPr>
          <w:rFonts w:eastAsia="楷体_GB2312"/>
          <w:bCs/>
          <w:sz w:val="24"/>
        </w:rPr>
        <w:t>”</w:t>
      </w:r>
      <w:r>
        <w:rPr>
          <w:rFonts w:hint="eastAsia" w:ascii="楷体_GB2312" w:eastAsia="楷体_GB2312" w:cs="楷体_GB2312"/>
          <w:bCs/>
          <w:sz w:val="24"/>
        </w:rPr>
        <w:t>，各期各级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支付日</w:t>
      </w:r>
      <w:r>
        <w:rPr>
          <w:rFonts w:eastAsia="楷体_GB2312"/>
          <w:bCs/>
          <w:sz w:val="24"/>
        </w:rPr>
        <w:t>”</w:t>
      </w:r>
      <w:r>
        <w:rPr>
          <w:rFonts w:hint="eastAsia" w:ascii="楷体_GB2312" w:eastAsia="楷体_GB2312" w:cs="楷体_GB2312"/>
          <w:bCs/>
          <w:sz w:val="24"/>
        </w:rPr>
        <w:t>以该期该级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对应的</w:t>
      </w:r>
      <w:r>
        <w:rPr>
          <w:rFonts w:eastAsia="楷体_GB2312"/>
          <w:bCs/>
          <w:sz w:val="24"/>
        </w:rPr>
        <w:t>“</w:t>
      </w:r>
      <w:r>
        <w:rPr>
          <w:rFonts w:hint="eastAsia" w:ascii="楷体_GB2312" w:eastAsia="楷体_GB2312" w:cs="楷体_GB2312"/>
          <w:bCs/>
          <w:sz w:val="24"/>
        </w:rPr>
        <w:t>发行文件</w:t>
      </w:r>
      <w:r>
        <w:rPr>
          <w:rFonts w:eastAsia="楷体_GB2312"/>
          <w:bCs/>
          <w:sz w:val="24"/>
        </w:rPr>
        <w:t>”</w:t>
      </w:r>
      <w:r>
        <w:rPr>
          <w:rFonts w:hint="eastAsia" w:ascii="楷体_GB2312" w:eastAsia="楷体_GB2312" w:cs="楷体_GB2312"/>
          <w:bCs/>
          <w:sz w:val="24"/>
        </w:rPr>
        <w:t>记载为准。</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终止后的</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为</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清算完毕后【】个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内的任一</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sz w:val="24"/>
        </w:rPr>
      </w:pPr>
      <w:bookmarkStart w:id="22" w:name="_Hlk507331774"/>
      <w:bookmarkEnd w:id="22"/>
      <w:r>
        <w:rPr>
          <w:rFonts w:hint="eastAsia" w:ascii="楷体_GB2312" w:eastAsia="楷体_GB2312" w:cs="楷体_GB2312"/>
          <w:b/>
          <w:bCs/>
          <w:sz w:val="24"/>
        </w:rPr>
        <w:t>预期到期日/到期日：</w:t>
      </w:r>
      <w:r>
        <w:rPr>
          <w:rFonts w:hint="eastAsia" w:ascii="楷体_GB2312" w:eastAsia="楷体_GB2312" w:cs="楷体_GB2312"/>
          <w:sz w:val="24"/>
        </w:rPr>
        <w:t>由于</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可在</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w:t>
      </w:r>
      <w:r>
        <w:rPr>
          <w:rFonts w:eastAsia="楷体_GB2312"/>
          <w:sz w:val="24"/>
        </w:rPr>
        <w:t>“</w:t>
      </w:r>
      <w:r>
        <w:rPr>
          <w:rFonts w:hint="eastAsia" w:ascii="楷体_GB2312" w:eastAsia="楷体_GB2312" w:cs="楷体_GB2312"/>
          <w:sz w:val="24"/>
        </w:rPr>
        <w:t>滚动发行</w:t>
      </w:r>
      <w:r>
        <w:rPr>
          <w:rFonts w:eastAsia="楷体_GB2312"/>
          <w:sz w:val="24"/>
        </w:rPr>
        <w:t>”</w:t>
      </w:r>
      <w:r>
        <w:rPr>
          <w:rFonts w:hint="eastAsia" w:ascii="楷体_GB2312" w:eastAsia="楷体_GB2312" w:cs="楷体_GB2312"/>
          <w:sz w:val="24"/>
        </w:rPr>
        <w:t>，各期各级</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eastAsia="楷体_GB2312"/>
          <w:sz w:val="24"/>
        </w:rPr>
        <w:t>预期到期日</w:t>
      </w:r>
      <w:r>
        <w:rPr>
          <w:rFonts w:eastAsia="楷体_GB2312"/>
          <w:sz w:val="24"/>
        </w:rPr>
        <w:t>”</w:t>
      </w:r>
      <w:r>
        <w:rPr>
          <w:rFonts w:hint="eastAsia" w:eastAsia="楷体_GB2312"/>
          <w:sz w:val="24"/>
        </w:rPr>
        <w:t>或</w:t>
      </w:r>
      <w:r>
        <w:rPr>
          <w:rFonts w:eastAsia="楷体_GB2312"/>
          <w:sz w:val="24"/>
        </w:rPr>
        <w:t>“</w:t>
      </w:r>
      <w:r>
        <w:rPr>
          <w:rFonts w:hint="eastAsia" w:eastAsia="楷体_GB2312"/>
          <w:sz w:val="24"/>
        </w:rPr>
        <w:t>到期日</w:t>
      </w:r>
      <w:r>
        <w:rPr>
          <w:rFonts w:eastAsia="楷体_GB2312"/>
          <w:sz w:val="24"/>
        </w:rPr>
        <w:t>”</w:t>
      </w:r>
      <w:r>
        <w:rPr>
          <w:rFonts w:hint="eastAsia" w:eastAsia="楷体_GB2312"/>
          <w:sz w:val="24"/>
        </w:rPr>
        <w:t>以该期该级</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对应的</w:t>
      </w:r>
      <w:r>
        <w:rPr>
          <w:rFonts w:eastAsia="楷体_GB2312"/>
          <w:sz w:val="24"/>
        </w:rPr>
        <w:t>“</w:t>
      </w:r>
      <w:r>
        <w:rPr>
          <w:rFonts w:hint="eastAsia" w:ascii="楷体_GB2312" w:eastAsia="楷体_GB2312" w:cs="楷体_GB2312"/>
          <w:sz w:val="24"/>
        </w:rPr>
        <w:t>发行文件</w:t>
      </w:r>
      <w:r>
        <w:rPr>
          <w:rFonts w:eastAsia="楷体_GB2312"/>
          <w:sz w:val="24"/>
        </w:rPr>
        <w:t>”</w:t>
      </w:r>
      <w:r>
        <w:rPr>
          <w:rFonts w:hint="eastAsia" w:ascii="楷体_GB2312" w:eastAsia="楷体_GB2312" w:cs="楷体_GB2312"/>
          <w:sz w:val="24"/>
        </w:rPr>
        <w:t>记载为准。</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计息日：</w:t>
      </w:r>
      <w:r>
        <w:rPr>
          <w:rFonts w:hint="eastAsia" w:ascii="楷体_GB2312" w:eastAsia="楷体_GB2312" w:cs="楷体_GB2312"/>
          <w:sz w:val="24"/>
        </w:rPr>
        <w:t>系指各期各级</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对应的</w:t>
      </w:r>
      <w:r>
        <w:rPr>
          <w:rFonts w:eastAsia="楷体_GB2312"/>
          <w:sz w:val="24"/>
        </w:rPr>
        <w:t>“</w:t>
      </w:r>
      <w:r>
        <w:rPr>
          <w:rFonts w:hint="eastAsia" w:ascii="楷体_GB2312" w:eastAsia="楷体_GB2312" w:cs="楷体_GB2312"/>
          <w:sz w:val="24"/>
        </w:rPr>
        <w:t>起息日</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b/>
          <w:i/>
          <w:color w:val="FF0000"/>
          <w:sz w:val="24"/>
        </w:rPr>
      </w:pPr>
      <w:r>
        <w:rPr>
          <w:rFonts w:hint="eastAsia" w:ascii="楷体_GB2312" w:eastAsia="楷体_GB2312" w:cs="楷体_GB2312"/>
          <w:b/>
          <w:bCs/>
          <w:sz w:val="24"/>
        </w:rPr>
        <w:t>结息日：</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按季进行结息之日，即每年的【】月【】日、【】月【】日、【】月【】日、【】月【】日。</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法定到期日：</w:t>
      </w:r>
      <w:r>
        <w:rPr>
          <w:rFonts w:hint="eastAsia" w:ascii="楷体_GB2312" w:eastAsia="楷体_GB2312" w:cs="楷体_GB2312"/>
          <w:bCs/>
          <w:sz w:val="24"/>
        </w:rPr>
        <w:t>系指【】年【】月【】日。</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信托终止日：</w:t>
      </w:r>
      <w:r>
        <w:rPr>
          <w:rFonts w:hint="eastAsia" w:ascii="楷体_GB2312" w:eastAsia="楷体_GB2312" w:cs="楷体_GB2312"/>
          <w:bCs/>
          <w:sz w:val="24"/>
        </w:rPr>
        <w:t>系指下列任一情形发生之日：</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之信托目的已经无法实现；</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被法院或仲裁机构依法撤销、被认定为无效或被判决终止；</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银保监会</w:t>
      </w:r>
      <w:r>
        <w:rPr>
          <w:rFonts w:eastAsia="楷体_GB2312"/>
          <w:kern w:val="0"/>
          <w:sz w:val="24"/>
        </w:rPr>
        <w:t>”</w:t>
      </w:r>
      <w:r>
        <w:rPr>
          <w:rFonts w:hint="eastAsia" w:ascii="楷体_GB2312" w:eastAsia="楷体_GB2312" w:cs="楷体_GB2312"/>
          <w:kern w:val="0"/>
          <w:sz w:val="24"/>
        </w:rPr>
        <w:t>或相关监管部门依法命令终止</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决议提前终止</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项下</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的本息全部偿付完毕且全部</w:t>
      </w:r>
      <w:r>
        <w:rPr>
          <w:rFonts w:eastAsia="楷体_GB2312"/>
          <w:kern w:val="0"/>
          <w:sz w:val="24"/>
        </w:rPr>
        <w:t>“</w:t>
      </w:r>
      <w:r>
        <w:rPr>
          <w:rFonts w:hint="eastAsia" w:ascii="楷体_GB2312" w:eastAsia="楷体_GB2312" w:cs="楷体_GB2312"/>
          <w:kern w:val="0"/>
          <w:sz w:val="24"/>
        </w:rPr>
        <w:t>次级资产支持商业票据持有人</w:t>
      </w:r>
      <w:r>
        <w:rPr>
          <w:rFonts w:eastAsia="楷体_GB2312"/>
          <w:kern w:val="0"/>
          <w:sz w:val="24"/>
        </w:rPr>
        <w:t>”</w:t>
      </w:r>
      <w:r>
        <w:rPr>
          <w:rFonts w:hint="eastAsia" w:ascii="楷体_GB2312" w:eastAsia="楷体_GB2312" w:cs="楷体_GB2312"/>
          <w:kern w:val="0"/>
          <w:sz w:val="24"/>
        </w:rPr>
        <w:t>均已向</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出具同意终止</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的书面文件；</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在</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的约定受让全部</w:t>
      </w:r>
      <w:r>
        <w:rPr>
          <w:rFonts w:eastAsia="楷体_GB2312"/>
          <w:sz w:val="24"/>
        </w:rPr>
        <w:t>“</w:t>
      </w:r>
      <w:r>
        <w:rPr>
          <w:rFonts w:hint="eastAsia" w:ascii="楷体_GB2312" w:eastAsia="楷体_GB2312" w:cs="楷体_GB2312"/>
          <w:sz w:val="24"/>
        </w:rPr>
        <w:t>优先级信托受益权</w:t>
      </w:r>
      <w:r>
        <w:rPr>
          <w:rFonts w:eastAsia="楷体_GB2312"/>
          <w:sz w:val="24"/>
        </w:rPr>
        <w:t>”</w:t>
      </w:r>
      <w:r>
        <w:rPr>
          <w:rFonts w:hint="eastAsia" w:ascii="楷体_GB2312" w:eastAsia="楷体_GB2312" w:cs="楷体_GB2312"/>
          <w:sz w:val="24"/>
        </w:rPr>
        <w:t>并成为</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项下唯一</w:t>
      </w:r>
      <w:r>
        <w:rPr>
          <w:rFonts w:eastAsia="楷体_GB2312"/>
          <w:sz w:val="24"/>
        </w:rPr>
        <w:t>“</w:t>
      </w:r>
      <w:r>
        <w:rPr>
          <w:rFonts w:hint="eastAsia" w:ascii="楷体_GB2312" w:eastAsia="楷体_GB2312" w:cs="楷体_GB2312"/>
          <w:sz w:val="24"/>
        </w:rPr>
        <w:t>受益人</w:t>
      </w:r>
      <w:r>
        <w:rPr>
          <w:rFonts w:eastAsia="楷体_GB2312"/>
          <w:sz w:val="24"/>
        </w:rPr>
        <w:t>”</w:t>
      </w:r>
      <w:r>
        <w:rPr>
          <w:rFonts w:hint="eastAsia" w:ascii="楷体_GB2312" w:eastAsia="楷体_GB2312" w:cs="楷体_GB2312"/>
          <w:kern w:val="0"/>
          <w:sz w:val="24"/>
        </w:rPr>
        <w:t>的情形下，</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决定提前终止</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全部变现完毕（含</w:t>
      </w:r>
      <w:r>
        <w:rPr>
          <w:rFonts w:eastAsia="楷体_GB2312"/>
          <w:kern w:val="0"/>
          <w:sz w:val="24"/>
        </w:rPr>
        <w:t>“</w:t>
      </w:r>
      <w:r>
        <w:rPr>
          <w:rFonts w:hint="eastAsia" w:ascii="楷体_GB2312" w:eastAsia="楷体_GB2312" w:cs="楷体_GB2312"/>
          <w:kern w:val="0"/>
          <w:sz w:val="24"/>
        </w:rPr>
        <w:t>回购</w:t>
      </w:r>
      <w:r>
        <w:rPr>
          <w:rFonts w:eastAsia="楷体_GB2312"/>
          <w:kern w:val="0"/>
          <w:sz w:val="24"/>
        </w:rPr>
        <w:t>”</w:t>
      </w:r>
      <w:r>
        <w:rPr>
          <w:rFonts w:hint="eastAsia" w:ascii="楷体_GB2312" w:eastAsia="楷体_GB2312" w:cs="楷体_GB2312"/>
          <w:kern w:val="0"/>
          <w:sz w:val="24"/>
        </w:rPr>
        <w:t>）</w:t>
      </w:r>
      <w:r>
        <w:rPr>
          <w:rFonts w:hint="default" w:ascii="Times New Roman" w:eastAsia="楷体_GB2312" w:cs="Times New Roman"/>
          <w:kern w:val="0"/>
          <w:sz w:val="24"/>
        </w:rPr>
        <w:t>，且</w:t>
      </w:r>
      <w:r>
        <w:rPr>
          <w:rFonts w:hint="default" w:ascii="Times New Roman" w:hAnsi="Times New Roman" w:eastAsia="楷体_GB2312" w:cs="Times New Roman"/>
          <w:kern w:val="0"/>
          <w:sz w:val="24"/>
        </w:rPr>
        <w:t>“受托人”决定终止信托</w:t>
      </w:r>
      <w:r>
        <w:rPr>
          <w:rFonts w:hint="eastAsia" w:ascii="楷体_GB2312" w:eastAsia="楷体_GB2312" w:cs="楷体_GB2312"/>
          <w:kern w:val="0"/>
          <w:sz w:val="24"/>
        </w:rPr>
        <w:t>；</w:t>
      </w:r>
    </w:p>
    <w:p>
      <w:pPr>
        <w:numPr>
          <w:ilvl w:val="1"/>
          <w:numId w:val="8"/>
        </w:numPr>
        <w:autoSpaceDE w:val="0"/>
        <w:autoSpaceDN w:val="0"/>
        <w:adjustRightInd w:val="0"/>
        <w:spacing w:beforeLines="50" w:afterLines="50" w:line="240" w:lineRule="atLeast"/>
        <w:ind w:left="993" w:hanging="426"/>
        <w:jc w:val="left"/>
        <w:rPr>
          <w:rFonts w:eastAsia="楷体_GB2312"/>
          <w:kern w:val="0"/>
          <w:sz w:val="24"/>
        </w:rPr>
      </w:pPr>
      <w:r>
        <w:rPr>
          <w:rFonts w:eastAsia="楷体_GB2312"/>
          <w:kern w:val="0"/>
          <w:sz w:val="24"/>
        </w:rPr>
        <w:t>“</w:t>
      </w:r>
      <w:r>
        <w:rPr>
          <w:rFonts w:hint="eastAsia" w:ascii="楷体_GB2312" w:eastAsia="楷体_GB2312" w:cs="楷体_GB2312"/>
          <w:kern w:val="0"/>
          <w:sz w:val="24"/>
        </w:rPr>
        <w:t>法定到期日</w:t>
      </w:r>
      <w:r>
        <w:rPr>
          <w:rFonts w:eastAsia="楷体_GB2312"/>
          <w:kern w:val="0"/>
          <w:sz w:val="24"/>
        </w:rPr>
        <w:t>”</w:t>
      </w:r>
      <w:r>
        <w:rPr>
          <w:rFonts w:hint="eastAsia" w:ascii="楷体_GB2312" w:eastAsia="楷体_GB2312" w:cs="楷体_GB2312"/>
          <w:kern w:val="0"/>
          <w:sz w:val="24"/>
        </w:rPr>
        <w:t>届至。</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信托终止事由</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bCs/>
          <w:sz w:val="24"/>
        </w:rPr>
        <w:t>工作日：</w:t>
      </w:r>
      <w:r>
        <w:rPr>
          <w:rFonts w:hint="eastAsia" w:ascii="楷体_GB2312" w:eastAsia="楷体_GB2312" w:cs="楷体_GB2312"/>
          <w:kern w:val="0"/>
          <w:sz w:val="24"/>
        </w:rPr>
        <w:t>系指商业银</w:t>
      </w:r>
      <w:bookmarkStart w:id="23" w:name="_Toc173860441"/>
      <w:r>
        <w:rPr>
          <w:rFonts w:hint="eastAsia" w:ascii="楷体_GB2312" w:eastAsia="楷体_GB2312" w:cs="楷体_GB2312"/>
          <w:kern w:val="0"/>
          <w:sz w:val="24"/>
        </w:rPr>
        <w:t>行的正常营</w:t>
      </w:r>
      <w:bookmarkEnd w:id="23"/>
      <w:r>
        <w:rPr>
          <w:rFonts w:hint="eastAsia" w:ascii="楷体_GB2312" w:eastAsia="楷体_GB2312" w:cs="楷体_GB2312"/>
          <w:kern w:val="0"/>
          <w:sz w:val="24"/>
        </w:rPr>
        <w:t>业日（不包括中国的法定公休日和节假日）</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日</w:t>
      </w:r>
      <w:r>
        <w:rPr>
          <w:rFonts w:eastAsia="楷体_GB2312"/>
          <w:b/>
          <w:bCs/>
          <w:sz w:val="24"/>
        </w:rPr>
        <w:t>/</w:t>
      </w:r>
      <w:r>
        <w:rPr>
          <w:rFonts w:hint="eastAsia" w:ascii="楷体_GB2312" w:eastAsia="楷体_GB2312" w:cs="楷体_GB2312"/>
          <w:b/>
          <w:bCs/>
          <w:sz w:val="24"/>
        </w:rPr>
        <w:t>天：</w:t>
      </w:r>
      <w:r>
        <w:rPr>
          <w:rFonts w:hint="eastAsia" w:ascii="楷体_GB2312" w:eastAsia="楷体_GB2312" w:cs="楷体_GB2312"/>
          <w:kern w:val="0"/>
          <w:sz w:val="24"/>
        </w:rPr>
        <w:t>除</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另有定义外，均指自</w:t>
      </w:r>
      <w:bookmarkStart w:id="24" w:name="_Ref110394034"/>
      <w:r>
        <w:rPr>
          <w:rFonts w:hint="eastAsia" w:ascii="楷体_GB2312" w:eastAsia="楷体_GB2312" w:cs="楷体_GB2312"/>
          <w:kern w:val="0"/>
          <w:sz w:val="24"/>
        </w:rPr>
        <w:t>然</w:t>
      </w:r>
      <w:bookmarkEnd w:id="24"/>
      <w:r>
        <w:rPr>
          <w:rFonts w:hint="eastAsia" w:ascii="楷体_GB2312" w:eastAsia="楷体_GB2312" w:cs="楷体_GB2312"/>
          <w:kern w:val="0"/>
          <w:sz w:val="24"/>
        </w:rPr>
        <w:t>日</w:t>
      </w:r>
      <w:bookmarkStart w:id="25" w:name="_Hlk507250685"/>
      <w:r>
        <w:rPr>
          <w:rFonts w:hint="eastAsia" w:ascii="楷体_GB2312" w:eastAsia="楷体_GB2312" w:cs="楷体_GB2312"/>
          <w:kern w:val="0"/>
          <w:sz w:val="24"/>
        </w:rPr>
        <w:t>。</w:t>
      </w:r>
      <w:bookmarkEnd w:id="25"/>
    </w:p>
    <w:p>
      <w:pPr>
        <w:pStyle w:val="13"/>
        <w:spacing w:beforeLines="50" w:afterLines="50" w:line="240" w:lineRule="atLeast"/>
        <w:outlineLvl w:val="2"/>
        <w:rPr>
          <w:rFonts w:eastAsia="楷体_GB2312"/>
          <w:b/>
        </w:rPr>
      </w:pPr>
      <w:r>
        <w:rPr>
          <w:rFonts w:eastAsia="楷体_GB2312"/>
          <w:b/>
        </w:rPr>
        <w:t>2</w:t>
      </w:r>
      <w:r>
        <w:rPr>
          <w:rFonts w:hint="eastAsia" w:ascii="楷体_GB2312" w:eastAsia="楷体_GB2312" w:cs="楷体_GB2312"/>
          <w:b/>
        </w:rPr>
        <w:t>、期间类</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信托期限：</w:t>
      </w:r>
      <w:r>
        <w:rPr>
          <w:rFonts w:hint="eastAsia" w:ascii="楷体_GB2312" w:eastAsia="楷体_GB2312" w:cs="楷体_GB2312"/>
          <w:bCs/>
          <w:sz w:val="24"/>
        </w:rPr>
        <w:t>系指</w:t>
      </w:r>
      <w:r>
        <w:rPr>
          <w:rFonts w:hint="eastAsia" w:ascii="楷体_GB2312" w:eastAsia="楷体_GB2312" w:cs="楷体_GB2312"/>
          <w:sz w:val="24"/>
        </w:rPr>
        <w:t>自</w:t>
      </w:r>
      <w:r>
        <w:rPr>
          <w:rFonts w:eastAsia="楷体_GB2312"/>
          <w:sz w:val="24"/>
        </w:rPr>
        <w:t>“</w:t>
      </w:r>
      <w:r>
        <w:rPr>
          <w:rFonts w:hint="eastAsia" w:ascii="楷体_GB2312" w:eastAsia="楷体_GB2312" w:cs="楷体_GB2312"/>
          <w:sz w:val="24"/>
        </w:rPr>
        <w:t>信托生效日</w:t>
      </w:r>
      <w:r>
        <w:rPr>
          <w:rFonts w:eastAsia="楷体_GB2312"/>
          <w:sz w:val="24"/>
        </w:rPr>
        <w:t>”</w:t>
      </w:r>
      <w:r>
        <w:rPr>
          <w:rFonts w:hint="eastAsia" w:ascii="楷体_GB2312" w:eastAsia="楷体_GB2312" w:cs="楷体_GB2312"/>
          <w:sz w:val="24"/>
        </w:rPr>
        <w:t>（含该日</w:t>
      </w:r>
      <w:bookmarkStart w:id="26" w:name="_Hlk507331824"/>
      <w:r>
        <w:rPr>
          <w:rFonts w:hint="eastAsia" w:ascii="楷体_GB2312" w:eastAsia="楷体_GB2312" w:cs="楷体_GB2312"/>
          <w:sz w:val="24"/>
        </w:rPr>
        <w:t>）起至</w:t>
      </w:r>
      <w:r>
        <w:rPr>
          <w:rFonts w:eastAsia="楷体_GB2312"/>
          <w:sz w:val="24"/>
        </w:rPr>
        <w:t>“</w:t>
      </w:r>
      <w:r>
        <w:rPr>
          <w:rFonts w:hint="eastAsia" w:ascii="楷体_GB2312" w:eastAsia="楷体_GB2312" w:cs="楷体_GB2312"/>
          <w:sz w:val="24"/>
        </w:rPr>
        <w:t>信托终止日</w:t>
      </w:r>
      <w:r>
        <w:rPr>
          <w:rFonts w:eastAsia="楷体_GB2312"/>
          <w:sz w:val="24"/>
        </w:rPr>
        <w:t>”</w:t>
      </w:r>
      <w:r>
        <w:rPr>
          <w:rFonts w:hint="eastAsia" w:ascii="楷体_GB2312" w:eastAsia="楷体_GB2312" w:cs="楷体_GB2312"/>
          <w:sz w:val="24"/>
        </w:rPr>
        <w:t>（不含该日）止的期间。</w:t>
      </w:r>
      <w:bookmarkEnd w:id="26"/>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回收款转付期间：</w:t>
      </w:r>
      <w:r>
        <w:rPr>
          <w:rFonts w:eastAsia="楷体_GB2312"/>
          <w:sz w:val="24"/>
        </w:rPr>
        <w:t>“</w:t>
      </w:r>
      <w:r>
        <w:rPr>
          <w:rFonts w:hint="eastAsia" w:ascii="楷体_GB2312" w:eastAsia="楷体_GB2312" w:cs="楷体_GB2312"/>
          <w:sz w:val="24"/>
        </w:rPr>
        <w:t>回收款转付期间</w:t>
      </w:r>
      <w:r>
        <w:rPr>
          <w:rFonts w:eastAsia="楷体_GB2312"/>
          <w:sz w:val="24"/>
        </w:rPr>
        <w:t>”</w:t>
      </w:r>
      <w:r>
        <w:rPr>
          <w:rFonts w:hint="eastAsia" w:ascii="楷体_GB2312" w:eastAsia="楷体_GB2312" w:cs="楷体_GB2312"/>
          <w:sz w:val="24"/>
        </w:rPr>
        <w:t>按照如下规则确定：</w:t>
      </w:r>
    </w:p>
    <w:p>
      <w:pPr>
        <w:numPr>
          <w:ilvl w:val="1"/>
          <w:numId w:val="9"/>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当</w:t>
      </w:r>
      <w:r>
        <w:rPr>
          <w:rFonts w:eastAsia="楷体_GB2312"/>
          <w:kern w:val="0"/>
          <w:sz w:val="24"/>
        </w:rPr>
        <w:t>“</w:t>
      </w:r>
      <w:r>
        <w:rPr>
          <w:rFonts w:hint="eastAsia" w:ascii="楷体_GB2312" w:eastAsia="楷体_GB2312" w:cs="楷体_GB2312"/>
          <w:kern w:val="0"/>
          <w:sz w:val="24"/>
        </w:rPr>
        <w:t>【评级机构简称】</w:t>
      </w:r>
      <w:r>
        <w:rPr>
          <w:rFonts w:eastAsia="楷体_GB2312"/>
          <w:kern w:val="0"/>
          <w:sz w:val="24"/>
        </w:rPr>
        <w:t>”</w:t>
      </w:r>
      <w:r>
        <w:rPr>
          <w:rFonts w:hint="eastAsia" w:ascii="楷体_GB2312" w:eastAsia="楷体_GB2312" w:cs="楷体_GB2312"/>
          <w:kern w:val="0"/>
          <w:sz w:val="24"/>
        </w:rPr>
        <w:t>给予</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的主体长期信用等级高于或等于【】级时，</w:t>
      </w:r>
      <w:r>
        <w:rPr>
          <w:rFonts w:eastAsia="楷体_GB2312"/>
          <w:kern w:val="0"/>
          <w:sz w:val="24"/>
        </w:rPr>
        <w:t>“</w:t>
      </w:r>
      <w:r>
        <w:rPr>
          <w:rFonts w:hint="eastAsia" w:ascii="楷体_GB2312" w:eastAsia="楷体_GB2312" w:cs="楷体_GB2312"/>
          <w:kern w:val="0"/>
          <w:sz w:val="24"/>
        </w:rPr>
        <w:t>回收款转付期间</w:t>
      </w:r>
      <w:r>
        <w:rPr>
          <w:rFonts w:eastAsia="楷体_GB2312"/>
          <w:kern w:val="0"/>
          <w:sz w:val="24"/>
        </w:rPr>
        <w:t>”</w:t>
      </w:r>
      <w:r>
        <w:rPr>
          <w:rFonts w:hint="eastAsia" w:ascii="楷体_GB2312" w:eastAsia="楷体_GB2312" w:cs="楷体_GB2312"/>
          <w:kern w:val="0"/>
          <w:sz w:val="24"/>
        </w:rPr>
        <w:t>系指自一个</w:t>
      </w:r>
      <w:r>
        <w:rPr>
          <w:rFonts w:eastAsia="楷体_GB2312"/>
          <w:kern w:val="0"/>
          <w:sz w:val="24"/>
        </w:rPr>
        <w:t>“</w:t>
      </w:r>
      <w:r>
        <w:rPr>
          <w:rFonts w:hint="eastAsia" w:ascii="楷体_GB2312" w:eastAsia="楷体_GB2312" w:cs="楷体_GB2312"/>
          <w:kern w:val="0"/>
          <w:sz w:val="24"/>
        </w:rPr>
        <w:t>计算日</w:t>
      </w:r>
      <w:r>
        <w:rPr>
          <w:rFonts w:eastAsia="楷体_GB2312"/>
          <w:kern w:val="0"/>
          <w:sz w:val="24"/>
        </w:rPr>
        <w:t>”</w:t>
      </w:r>
      <w:r>
        <w:rPr>
          <w:rFonts w:hint="eastAsia" w:ascii="楷体_GB2312" w:eastAsia="楷体_GB2312" w:cs="楷体_GB2312"/>
          <w:kern w:val="0"/>
          <w:sz w:val="24"/>
        </w:rPr>
        <w:t>起（不含该日）至下一个</w:t>
      </w:r>
      <w:r>
        <w:rPr>
          <w:rFonts w:eastAsia="楷体_GB2312"/>
          <w:kern w:val="0"/>
          <w:sz w:val="24"/>
        </w:rPr>
        <w:t>“</w:t>
      </w:r>
      <w:r>
        <w:rPr>
          <w:rFonts w:hint="eastAsia" w:ascii="楷体_GB2312" w:eastAsia="楷体_GB2312" w:cs="楷体_GB2312"/>
          <w:kern w:val="0"/>
          <w:sz w:val="24"/>
        </w:rPr>
        <w:t>计算日</w:t>
      </w:r>
      <w:r>
        <w:rPr>
          <w:rFonts w:eastAsia="楷体_GB2312"/>
          <w:kern w:val="0"/>
          <w:sz w:val="24"/>
        </w:rPr>
        <w:t>”</w:t>
      </w:r>
      <w:r>
        <w:rPr>
          <w:rFonts w:hint="eastAsia" w:ascii="楷体_GB2312" w:eastAsia="楷体_GB2312" w:cs="楷体_GB2312"/>
          <w:kern w:val="0"/>
          <w:sz w:val="24"/>
        </w:rPr>
        <w:t>（含该日）之间的期</w:t>
      </w:r>
      <w:bookmarkStart w:id="27" w:name="_Hlk507331837"/>
      <w:r>
        <w:rPr>
          <w:rFonts w:hint="eastAsia" w:ascii="楷体_GB2312" w:eastAsia="楷体_GB2312" w:cs="楷体_GB2312"/>
          <w:kern w:val="0"/>
          <w:sz w:val="24"/>
        </w:rPr>
        <w:t>间，其中第一个</w:t>
      </w:r>
      <w:r>
        <w:rPr>
          <w:rFonts w:eastAsia="楷体_GB2312"/>
          <w:kern w:val="0"/>
          <w:sz w:val="24"/>
        </w:rPr>
        <w:t>“</w:t>
      </w:r>
      <w:r>
        <w:rPr>
          <w:rFonts w:hint="eastAsia" w:ascii="楷体_GB2312" w:eastAsia="楷体_GB2312" w:cs="楷体_GB2312"/>
          <w:kern w:val="0"/>
          <w:sz w:val="24"/>
        </w:rPr>
        <w:t>回收款转付期间</w:t>
      </w:r>
      <w:r>
        <w:rPr>
          <w:rFonts w:eastAsia="楷体_GB2312"/>
          <w:kern w:val="0"/>
          <w:sz w:val="24"/>
        </w:rPr>
        <w:t>”</w:t>
      </w:r>
      <w:r>
        <w:rPr>
          <w:rFonts w:hint="eastAsia" w:ascii="楷体_GB2312" w:eastAsia="楷体_GB2312" w:cs="楷体_GB2312"/>
          <w:kern w:val="0"/>
          <w:sz w:val="24"/>
        </w:rPr>
        <w:t>应自</w:t>
      </w:r>
      <w:r>
        <w:rPr>
          <w:rFonts w:eastAsia="楷体_GB2312"/>
          <w:kern w:val="0"/>
          <w:sz w:val="24"/>
        </w:rPr>
        <w:t>“</w:t>
      </w:r>
      <w:r>
        <w:rPr>
          <w:rFonts w:hint="eastAsia" w:ascii="楷体_GB2312" w:eastAsia="楷体_GB2312" w:cs="楷体_GB2312"/>
          <w:kern w:val="0"/>
          <w:sz w:val="24"/>
        </w:rPr>
        <w:t>信托生效日</w:t>
      </w:r>
      <w:r>
        <w:rPr>
          <w:rFonts w:eastAsia="楷体_GB2312"/>
          <w:kern w:val="0"/>
          <w:sz w:val="24"/>
        </w:rPr>
        <w:t>”</w:t>
      </w:r>
      <w:r>
        <w:rPr>
          <w:rFonts w:hint="eastAsia" w:ascii="楷体_GB2312" w:eastAsia="楷体_GB2312" w:cs="楷体_GB2312"/>
          <w:kern w:val="0"/>
          <w:sz w:val="24"/>
        </w:rPr>
        <w:t>（含该日）起至第一个</w:t>
      </w:r>
      <w:r>
        <w:rPr>
          <w:rFonts w:eastAsia="楷体_GB2312"/>
          <w:kern w:val="0"/>
          <w:sz w:val="24"/>
        </w:rPr>
        <w:t>“</w:t>
      </w:r>
      <w:r>
        <w:rPr>
          <w:rFonts w:hint="eastAsia" w:ascii="楷体_GB2312" w:eastAsia="楷体_GB2312" w:cs="楷体_GB2312"/>
          <w:kern w:val="0"/>
          <w:sz w:val="24"/>
        </w:rPr>
        <w:t>计算</w:t>
      </w:r>
      <w:bookmarkEnd w:id="27"/>
      <w:r>
        <w:rPr>
          <w:rFonts w:hint="eastAsia" w:ascii="楷体_GB2312" w:eastAsia="楷体_GB2312" w:cs="楷体_GB2312"/>
          <w:kern w:val="0"/>
          <w:sz w:val="24"/>
        </w:rPr>
        <w:t>日</w:t>
      </w:r>
      <w:r>
        <w:rPr>
          <w:rFonts w:eastAsia="楷体_GB2312"/>
          <w:kern w:val="0"/>
          <w:sz w:val="24"/>
        </w:rPr>
        <w:t>”</w:t>
      </w:r>
      <w:r>
        <w:rPr>
          <w:rFonts w:hint="eastAsia" w:ascii="楷体_GB2312" w:eastAsia="楷体_GB2312" w:cs="楷体_GB2312"/>
          <w:kern w:val="0"/>
          <w:sz w:val="24"/>
        </w:rPr>
        <w:t>（含该日）结束；</w:t>
      </w:r>
    </w:p>
    <w:p>
      <w:pPr>
        <w:numPr>
          <w:ilvl w:val="1"/>
          <w:numId w:val="9"/>
        </w:numPr>
        <w:autoSpaceDE w:val="0"/>
        <w:autoSpaceDN w:val="0"/>
        <w:adjustRightInd w:val="0"/>
        <w:spacing w:beforeLines="50" w:afterLines="50" w:line="240" w:lineRule="atLeast"/>
        <w:ind w:left="993" w:hanging="426"/>
        <w:jc w:val="left"/>
        <w:rPr>
          <w:rFonts w:eastAsia="楷体_GB2312"/>
          <w:kern w:val="0"/>
          <w:sz w:val="24"/>
        </w:rPr>
      </w:pPr>
      <w:r>
        <w:rPr>
          <w:rFonts w:hint="eastAsia" w:ascii="楷体_GB2312" w:eastAsia="楷体_GB2312" w:cs="楷体_GB2312"/>
          <w:kern w:val="0"/>
          <w:sz w:val="24"/>
        </w:rPr>
        <w:t>自</w:t>
      </w:r>
      <w:r>
        <w:rPr>
          <w:rFonts w:eastAsia="楷体_GB2312"/>
          <w:kern w:val="0"/>
          <w:sz w:val="24"/>
        </w:rPr>
        <w:t>“</w:t>
      </w:r>
      <w:r>
        <w:rPr>
          <w:rFonts w:hint="eastAsia" w:ascii="楷体_GB2312" w:eastAsia="楷体_GB2312" w:cs="楷体_GB2312"/>
          <w:kern w:val="0"/>
          <w:sz w:val="24"/>
        </w:rPr>
        <w:t>【评级机构简称】</w:t>
      </w:r>
      <w:r>
        <w:rPr>
          <w:rFonts w:eastAsia="楷体_GB2312"/>
          <w:kern w:val="0"/>
          <w:sz w:val="24"/>
        </w:rPr>
        <w:t>”</w:t>
      </w:r>
      <w:r>
        <w:rPr>
          <w:rFonts w:hint="eastAsia" w:ascii="楷体_GB2312" w:eastAsia="楷体_GB2312" w:cs="楷体_GB2312"/>
          <w:kern w:val="0"/>
          <w:sz w:val="24"/>
        </w:rPr>
        <w:t>给予</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的主体长期信用等级低于【】级之日起，</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将根据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的约定通知</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【保证人】</w:t>
      </w:r>
      <w:r>
        <w:rPr>
          <w:rFonts w:eastAsia="楷体_GB2312"/>
          <w:kern w:val="0"/>
          <w:sz w:val="24"/>
        </w:rPr>
        <w:t>”</w:t>
      </w:r>
      <w:r>
        <w:rPr>
          <w:rFonts w:hint="eastAsia" w:ascii="楷体_GB2312" w:eastAsia="楷体_GB2312" w:cs="楷体_GB2312"/>
          <w:kern w:val="0"/>
          <w:sz w:val="24"/>
        </w:rPr>
        <w:t>将其应支付的款项支付至</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w:t>
      </w:r>
    </w:p>
    <w:p>
      <w:pPr>
        <w:adjustRightInd w:val="0"/>
        <w:spacing w:beforeLines="50" w:afterLines="50" w:line="240" w:lineRule="atLeast"/>
        <w:ind w:left="851"/>
        <w:textAlignment w:val="baseline"/>
        <w:rPr>
          <w:rFonts w:eastAsia="楷体_GB2312"/>
          <w:bCs/>
          <w:sz w:val="24"/>
        </w:rPr>
      </w:pPr>
      <w:r>
        <w:rPr>
          <w:rFonts w:hint="eastAsia" w:ascii="楷体_GB2312" w:eastAsia="楷体_GB2312" w:cs="楷体_GB2312"/>
          <w:bCs/>
          <w:sz w:val="24"/>
        </w:rPr>
        <w:t>如果</w:t>
      </w:r>
      <w:r>
        <w:rPr>
          <w:rFonts w:eastAsia="楷体_GB2312"/>
          <w:sz w:val="24"/>
        </w:rPr>
        <w:t>“</w:t>
      </w:r>
      <w:r>
        <w:rPr>
          <w:rFonts w:hint="eastAsia" w:ascii="楷体_GB2312" w:eastAsia="楷体_GB2312" w:cs="楷体_GB2312"/>
          <w:sz w:val="24"/>
        </w:rPr>
        <w:t>评级机构</w:t>
      </w:r>
      <w:r>
        <w:rPr>
          <w:rFonts w:eastAsia="楷体_GB2312"/>
          <w:sz w:val="24"/>
        </w:rPr>
        <w:t>”</w:t>
      </w:r>
      <w:r>
        <w:rPr>
          <w:rFonts w:hint="eastAsia" w:ascii="楷体_GB2312" w:eastAsia="楷体_GB2312" w:cs="楷体_GB2312"/>
          <w:bCs/>
          <w:sz w:val="24"/>
        </w:rPr>
        <w:t>给予</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的主体长期信用等级在某一</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内发生变化且因此需要改变相关</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时，自该</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届满之日起，相关</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按照前述规则进行相应的改变。</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发生上述改变之后，即使</w:t>
      </w:r>
      <w:r>
        <w:rPr>
          <w:rFonts w:eastAsia="楷体_GB2312"/>
          <w:bCs/>
          <w:sz w:val="24"/>
        </w:rPr>
        <w:t>“</w:t>
      </w:r>
      <w:r>
        <w:rPr>
          <w:rFonts w:hint="eastAsia" w:ascii="楷体_GB2312" w:eastAsia="楷体_GB2312" w:cs="楷体_GB2312"/>
          <w:bCs/>
          <w:sz w:val="24"/>
        </w:rPr>
        <w:t>资产服务机构</w:t>
      </w:r>
      <w:r>
        <w:rPr>
          <w:rFonts w:eastAsia="楷体_GB2312"/>
          <w:bCs/>
          <w:sz w:val="24"/>
        </w:rPr>
        <w:t>”</w:t>
      </w:r>
      <w:r>
        <w:rPr>
          <w:rFonts w:hint="eastAsia" w:ascii="楷体_GB2312" w:eastAsia="楷体_GB2312" w:cs="楷体_GB2312"/>
          <w:bCs/>
          <w:sz w:val="24"/>
        </w:rPr>
        <w:t>的主体长期信用评级重新提高，</w:t>
      </w:r>
      <w:r>
        <w:rPr>
          <w:rFonts w:eastAsia="楷体_GB2312"/>
          <w:bCs/>
          <w:sz w:val="24"/>
        </w:rPr>
        <w:t>“</w:t>
      </w:r>
      <w:r>
        <w:rPr>
          <w:rFonts w:hint="eastAsia" w:ascii="楷体_GB2312" w:eastAsia="楷体_GB2312" w:cs="楷体_GB2312"/>
          <w:bCs/>
          <w:sz w:val="24"/>
        </w:rPr>
        <w:t>回收款转付期间</w:t>
      </w:r>
      <w:r>
        <w:rPr>
          <w:rFonts w:eastAsia="楷体_GB2312"/>
          <w:bCs/>
          <w:sz w:val="24"/>
        </w:rPr>
        <w:t>”</w:t>
      </w:r>
      <w:r>
        <w:rPr>
          <w:rFonts w:hint="eastAsia" w:ascii="楷体_GB2312" w:eastAsia="楷体_GB2312" w:cs="楷体_GB2312"/>
          <w:bCs/>
          <w:sz w:val="24"/>
        </w:rPr>
        <w:t>的也不再恢复。</w:t>
      </w:r>
    </w:p>
    <w:p>
      <w:pPr>
        <w:adjustRightInd w:val="0"/>
        <w:spacing w:beforeLines="50" w:afterLines="50" w:line="240" w:lineRule="atLeast"/>
        <w:ind w:left="851"/>
        <w:textAlignment w:val="baseline"/>
        <w:rPr>
          <w:rFonts w:eastAsia="楷体_GB2312"/>
          <w:bCs/>
          <w:sz w:val="24"/>
          <w:u w:val="single"/>
        </w:rPr>
      </w:pPr>
      <w:r>
        <w:rPr>
          <w:rFonts w:hint="eastAsia" w:ascii="楷体_GB2312" w:eastAsia="楷体_GB2312" w:cs="楷体_GB2312"/>
          <w:b/>
          <w:i/>
          <w:color w:val="FF0000"/>
          <w:sz w:val="24"/>
          <w:u w:val="single"/>
        </w:rPr>
        <w:t>回收款转付期间</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收款期间</w:t>
      </w:r>
      <w:r>
        <w:rPr>
          <w:rFonts w:hint="eastAsia" w:ascii="楷体_GB2312" w:eastAsia="楷体_GB2312" w:cs="楷体_GB2312"/>
          <w:sz w:val="24"/>
        </w:rPr>
        <w:t>：系指自一个</w:t>
      </w:r>
      <w:r>
        <w:rPr>
          <w:rFonts w:eastAsia="楷体_GB2312"/>
          <w:sz w:val="24"/>
        </w:rPr>
        <w:t>“</w:t>
      </w:r>
      <w:r>
        <w:rPr>
          <w:rFonts w:hint="eastAsia" w:ascii="楷体_GB2312" w:eastAsia="楷体_GB2312" w:cs="楷体_GB2312"/>
          <w:sz w:val="24"/>
        </w:rPr>
        <w:t>计算日</w:t>
      </w:r>
      <w:r>
        <w:rPr>
          <w:rFonts w:eastAsia="楷体_GB2312"/>
          <w:sz w:val="24"/>
        </w:rPr>
        <w:t>”</w:t>
      </w:r>
      <w:r>
        <w:rPr>
          <w:rFonts w:hint="eastAsia" w:ascii="楷体_GB2312" w:eastAsia="楷体_GB2312" w:cs="楷体_GB2312"/>
          <w:sz w:val="24"/>
        </w:rPr>
        <w:t>起（不含该日）至下一个</w:t>
      </w:r>
      <w:r>
        <w:rPr>
          <w:rFonts w:eastAsia="楷体_GB2312"/>
          <w:sz w:val="24"/>
        </w:rPr>
        <w:t>“</w:t>
      </w:r>
      <w:r>
        <w:rPr>
          <w:rFonts w:hint="eastAsia" w:ascii="楷体_GB2312" w:eastAsia="楷体_GB2312" w:cs="楷体_GB2312"/>
          <w:sz w:val="24"/>
        </w:rPr>
        <w:t>计算日</w:t>
      </w:r>
      <w:r>
        <w:rPr>
          <w:rFonts w:eastAsia="楷体_GB2312"/>
          <w:sz w:val="24"/>
        </w:rPr>
        <w:t>”</w:t>
      </w:r>
      <w:r>
        <w:rPr>
          <w:rFonts w:hint="eastAsia" w:ascii="楷体_GB2312" w:eastAsia="楷体_GB2312" w:cs="楷体_GB2312"/>
          <w:sz w:val="24"/>
        </w:rPr>
        <w:t>（含该日）之间的期间，其中第一个</w:t>
      </w:r>
      <w:r>
        <w:rPr>
          <w:rFonts w:eastAsia="楷体_GB2312"/>
          <w:sz w:val="24"/>
        </w:rPr>
        <w:t>“</w:t>
      </w:r>
      <w:r>
        <w:rPr>
          <w:rFonts w:hint="eastAsia" w:ascii="楷体_GB2312" w:eastAsia="楷体_GB2312" w:cs="楷体_GB2312"/>
          <w:sz w:val="24"/>
        </w:rPr>
        <w:t>收款期间</w:t>
      </w:r>
      <w:r>
        <w:rPr>
          <w:rFonts w:eastAsia="楷体_GB2312"/>
          <w:sz w:val="24"/>
        </w:rPr>
        <w:t>”</w:t>
      </w:r>
      <w:r>
        <w:rPr>
          <w:rFonts w:hint="eastAsia" w:ascii="楷体_GB2312" w:eastAsia="楷体_GB2312" w:cs="楷体_GB2312"/>
          <w:sz w:val="24"/>
        </w:rPr>
        <w:t>应自</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（含该日）起至第一个</w:t>
      </w:r>
      <w:r>
        <w:rPr>
          <w:rFonts w:eastAsia="楷体_GB2312"/>
          <w:sz w:val="24"/>
        </w:rPr>
        <w:t>“</w:t>
      </w:r>
      <w:r>
        <w:rPr>
          <w:rFonts w:hint="eastAsia" w:ascii="楷体_GB2312" w:eastAsia="楷体_GB2312" w:cs="楷体_GB2312"/>
          <w:sz w:val="24"/>
        </w:rPr>
        <w:t>计算日</w:t>
      </w:r>
      <w:r>
        <w:rPr>
          <w:rFonts w:eastAsia="楷体_GB2312"/>
          <w:sz w:val="24"/>
        </w:rPr>
        <w:t>”</w:t>
      </w:r>
      <w:r>
        <w:rPr>
          <w:rFonts w:hint="eastAsia" w:ascii="楷体_GB2312" w:eastAsia="楷体_GB2312" w:cs="楷体_GB2312"/>
          <w:sz w:val="24"/>
        </w:rPr>
        <w:t>（含该日）结束。</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收款期间</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循环期：</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以</w:t>
      </w:r>
      <w:r>
        <w:rPr>
          <w:rFonts w:eastAsia="楷体_GB2312"/>
          <w:sz w:val="24"/>
        </w:rPr>
        <w:t>“</w:t>
      </w:r>
      <w:r>
        <w:rPr>
          <w:rFonts w:hint="eastAsia" w:ascii="楷体_GB2312" w:eastAsia="楷体_GB2312" w:cs="楷体_GB2312"/>
          <w:sz w:val="24"/>
        </w:rPr>
        <w:t>信托资金</w:t>
      </w:r>
      <w:r>
        <w:rPr>
          <w:rFonts w:eastAsia="楷体_GB2312"/>
          <w:sz w:val="24"/>
        </w:rPr>
        <w:t>”</w:t>
      </w:r>
      <w:r>
        <w:rPr>
          <w:rFonts w:hint="eastAsia" w:ascii="楷体_GB2312" w:eastAsia="楷体_GB2312" w:cs="楷体_GB2312"/>
          <w:sz w:val="24"/>
        </w:rPr>
        <w:t>向</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新的</w:t>
      </w:r>
      <w:r>
        <w:rPr>
          <w:rFonts w:eastAsia="楷体_GB2312"/>
          <w:sz w:val="24"/>
        </w:rPr>
        <w:t>“</w:t>
      </w:r>
      <w:r>
        <w:rPr>
          <w:rFonts w:hint="eastAsia" w:ascii="楷体_GB2312" w:eastAsia="楷体_GB2312" w:cs="楷体_GB2312"/>
          <w:sz w:val="24"/>
        </w:rPr>
        <w:t>基础资产</w:t>
      </w:r>
      <w:r>
        <w:rPr>
          <w:rFonts w:eastAsia="楷体_GB2312"/>
          <w:sz w:val="24"/>
        </w:rPr>
        <w:t>”</w:t>
      </w:r>
      <w:r>
        <w:rPr>
          <w:rFonts w:hint="eastAsia" w:ascii="楷体_GB2312" w:eastAsia="楷体_GB2312" w:cs="楷体_GB2312"/>
          <w:sz w:val="24"/>
        </w:rPr>
        <w:t>的期间，循环期届满后，</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不再向</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基础资产</w:t>
      </w:r>
      <w:r>
        <w:rPr>
          <w:rFonts w:eastAsia="楷体_GB2312"/>
          <w:sz w:val="24"/>
        </w:rPr>
        <w:t>”</w:t>
      </w:r>
      <w:r>
        <w:rPr>
          <w:rFonts w:hint="eastAsia" w:ascii="楷体_GB2312" w:eastAsia="楷体_GB2312" w:cs="楷体_GB2312"/>
          <w:sz w:val="24"/>
        </w:rPr>
        <w:t>。循环期自</w:t>
      </w:r>
      <w:r>
        <w:rPr>
          <w:rFonts w:eastAsia="楷体_GB2312"/>
          <w:sz w:val="24"/>
        </w:rPr>
        <w:t>“</w:t>
      </w:r>
      <w:r>
        <w:rPr>
          <w:rFonts w:hint="eastAsia" w:ascii="楷体_GB2312" w:eastAsia="楷体_GB2312" w:cs="楷体_GB2312"/>
          <w:sz w:val="24"/>
        </w:rPr>
        <w:t>信托生效日</w:t>
      </w:r>
      <w:r>
        <w:rPr>
          <w:rFonts w:eastAsia="楷体_GB2312"/>
          <w:sz w:val="24"/>
        </w:rPr>
        <w:t>”</w:t>
      </w:r>
      <w:r>
        <w:rPr>
          <w:rFonts w:hint="eastAsia" w:ascii="楷体_GB2312" w:eastAsia="楷体_GB2312" w:cs="楷体_GB2312"/>
          <w:sz w:val="24"/>
        </w:rPr>
        <w:t>起（不含该日）至下述较早日期止（含该日）：（</w:t>
      </w:r>
      <w:r>
        <w:rPr>
          <w:rFonts w:eastAsia="楷体_GB2312"/>
          <w:sz w:val="24"/>
        </w:rPr>
        <w:t>1</w:t>
      </w:r>
      <w:r>
        <w:rPr>
          <w:rFonts w:hint="eastAsia" w:ascii="楷体_GB2312" w:eastAsia="楷体_GB2312" w:cs="楷体_GB2312"/>
          <w:sz w:val="24"/>
        </w:rPr>
        <w:t>）【】年【】月【】日；（</w:t>
      </w:r>
      <w:r>
        <w:rPr>
          <w:rFonts w:eastAsia="楷体_GB2312"/>
          <w:sz w:val="24"/>
        </w:rPr>
        <w:t>2</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循环期提前终止事件</w:t>
      </w:r>
      <w:r>
        <w:rPr>
          <w:rFonts w:eastAsia="楷体_GB2312"/>
          <w:sz w:val="24"/>
        </w:rPr>
        <w:t>”</w:t>
      </w:r>
      <w:r>
        <w:rPr>
          <w:rFonts w:hint="eastAsia" w:ascii="楷体_GB2312" w:eastAsia="楷体_GB2312" w:cs="楷体_GB2312"/>
          <w:sz w:val="24"/>
        </w:rPr>
        <w:t>发生之日或</w:t>
      </w:r>
      <w:r>
        <w:rPr>
          <w:rFonts w:eastAsia="楷体_GB2312"/>
          <w:sz w:val="24"/>
        </w:rPr>
        <w:t>“</w:t>
      </w:r>
      <w:r>
        <w:rPr>
          <w:rFonts w:hint="eastAsia" w:ascii="楷体_GB2312" w:eastAsia="楷体_GB2312" w:cs="楷体_GB2312"/>
          <w:sz w:val="24"/>
        </w:rPr>
        <w:t>信托终止日</w:t>
      </w:r>
      <w:r>
        <w:rPr>
          <w:rFonts w:eastAsia="楷体_GB2312"/>
          <w:sz w:val="24"/>
        </w:rPr>
        <w:t>”</w:t>
      </w:r>
      <w:r>
        <w:rPr>
          <w:rFonts w:hint="eastAsia" w:ascii="楷体_GB2312" w:eastAsia="楷体_GB2312" w:cs="楷体_GB2312"/>
          <w:sz w:val="24"/>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分配期：</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循环期</w:t>
      </w:r>
      <w:r>
        <w:rPr>
          <w:rFonts w:eastAsia="楷体_GB2312"/>
          <w:sz w:val="24"/>
        </w:rPr>
        <w:t>”</w:t>
      </w:r>
      <w:r>
        <w:rPr>
          <w:rFonts w:hint="eastAsia" w:ascii="楷体_GB2312" w:eastAsia="楷体_GB2312" w:cs="楷体_GB2312"/>
          <w:sz w:val="24"/>
        </w:rPr>
        <w:t>届满之日（含该日）起至</w:t>
      </w:r>
      <w:r>
        <w:rPr>
          <w:rFonts w:eastAsia="楷体_GB2312"/>
          <w:sz w:val="24"/>
        </w:rPr>
        <w:t>“</w:t>
      </w:r>
      <w:r>
        <w:rPr>
          <w:rFonts w:hint="eastAsia" w:ascii="楷体_GB2312" w:eastAsia="楷体_GB2312" w:cs="楷体_GB2312"/>
          <w:sz w:val="24"/>
        </w:rPr>
        <w:t>信托终止日</w:t>
      </w:r>
      <w:r>
        <w:rPr>
          <w:rFonts w:eastAsia="楷体_GB2312"/>
          <w:sz w:val="24"/>
        </w:rPr>
        <w:t>”</w:t>
      </w:r>
      <w:r>
        <w:rPr>
          <w:rFonts w:hint="eastAsia" w:ascii="楷体_GB2312" w:eastAsia="楷体_GB2312" w:cs="楷体_GB2312"/>
          <w:sz w:val="24"/>
        </w:rPr>
        <w:t>（含该日）的期间，该期间内，</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不再向</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循环购买</w:t>
      </w:r>
      <w:r>
        <w:rPr>
          <w:rFonts w:eastAsia="楷体_GB2312"/>
          <w:sz w:val="24"/>
        </w:rPr>
        <w:t>”“</w:t>
      </w:r>
      <w:r>
        <w:rPr>
          <w:rFonts w:hint="eastAsia" w:ascii="楷体_GB2312" w:eastAsia="楷体_GB2312" w:cs="楷体_GB2312"/>
          <w:sz w:val="24"/>
        </w:rPr>
        <w:t>基础资产</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hint="eastAsia" w:ascii="楷体_GB2312" w:eastAsia="楷体_GB2312" w:cs="楷体_GB2312"/>
          <w:b/>
          <w:i/>
          <w:color w:val="FF0000"/>
          <w:sz w:val="24"/>
          <w:u w:val="single"/>
        </w:rPr>
      </w:pPr>
      <w:r>
        <w:rPr>
          <w:rFonts w:hint="eastAsia" w:ascii="楷体_GB2312" w:eastAsia="楷体_GB2312" w:cs="楷体_GB2312"/>
          <w:b/>
          <w:i/>
          <w:color w:val="FF0000"/>
          <w:sz w:val="24"/>
          <w:u w:val="single"/>
        </w:rPr>
        <w:t>1、循环期</w:t>
      </w:r>
      <w:r>
        <w:rPr>
          <w:rFonts w:hint="eastAsia" w:ascii="楷体_GB2312" w:eastAsia="楷体_GB2312" w:cs="楷体_GB2312"/>
          <w:b/>
          <w:i/>
          <w:color w:val="FF0000"/>
          <w:sz w:val="24"/>
          <w:u w:val="single"/>
          <w:lang w:val="en-US" w:eastAsia="zh-CN"/>
        </w:rPr>
        <w:t>相关</w:t>
      </w:r>
      <w:r>
        <w:rPr>
          <w:rFonts w:hint="eastAsia" w:ascii="楷体_GB2312" w:eastAsia="楷体_GB2312" w:cs="楷体_GB2312"/>
          <w:b/>
          <w:i/>
          <w:color w:val="FF0000"/>
          <w:sz w:val="24"/>
          <w:u w:val="single"/>
        </w:rPr>
        <w:t>定义</w:t>
      </w:r>
      <w:r>
        <w:rPr>
          <w:rFonts w:hint="eastAsia" w:ascii="楷体_GB2312" w:eastAsia="楷体_GB2312" w:cs="楷体_GB2312"/>
          <w:b/>
          <w:i/>
          <w:color w:val="FF0000"/>
          <w:sz w:val="24"/>
          <w:u w:val="single"/>
          <w:lang w:val="en-US" w:eastAsia="zh-CN"/>
        </w:rPr>
        <w:t>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；2、未设置循环购买机制则需删除循环期和分配期定义。</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计息期间：</w:t>
      </w:r>
      <w:r>
        <w:rPr>
          <w:rFonts w:hint="eastAsia" w:ascii="楷体_GB2312" w:eastAsia="楷体_GB2312" w:cs="楷体_GB2312"/>
          <w:sz w:val="24"/>
        </w:rPr>
        <w:t>就</w:t>
      </w:r>
      <w:r>
        <w:rPr>
          <w:rFonts w:hint="eastAsia" w:ascii="楷体_GB2312" w:eastAsia="楷体_GB2312" w:cs="楷体_GB2312"/>
          <w:bCs/>
          <w:sz w:val="24"/>
        </w:rPr>
        <w:t>各期各级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而言，系指该期该级</w:t>
      </w:r>
      <w:r>
        <w:rPr>
          <w:rFonts w:eastAsia="楷体_GB2312"/>
          <w:bCs/>
          <w:sz w:val="24"/>
        </w:rPr>
        <w:t>“</w:t>
      </w:r>
      <w:r>
        <w:rPr>
          <w:rFonts w:hint="eastAsia" w:ascii="楷体_GB2312" w:eastAsia="楷体_GB2312" w:cs="楷体_GB2312"/>
          <w:bCs/>
          <w:sz w:val="24"/>
        </w:rPr>
        <w:t>资产支持商业票据</w:t>
      </w:r>
      <w:r>
        <w:rPr>
          <w:rFonts w:eastAsia="楷体_GB2312"/>
          <w:bCs/>
          <w:sz w:val="24"/>
        </w:rPr>
        <w:t>”</w:t>
      </w:r>
      <w:r>
        <w:rPr>
          <w:rFonts w:hint="eastAsia" w:ascii="楷体_GB2312" w:eastAsia="楷体_GB2312" w:cs="楷体_GB2312"/>
          <w:bCs/>
          <w:sz w:val="24"/>
        </w:rPr>
        <w:t>的</w:t>
      </w:r>
      <w:r>
        <w:rPr>
          <w:rFonts w:hint="eastAsia" w:ascii="楷体_GB2312" w:eastAsia="楷体_GB2312" w:cs="楷体_GB2312"/>
          <w:sz w:val="24"/>
        </w:rPr>
        <w:t>一个</w:t>
      </w:r>
      <w:r>
        <w:rPr>
          <w:rFonts w:eastAsia="楷体_GB2312"/>
          <w:sz w:val="24"/>
        </w:rPr>
        <w:t>“</w:t>
      </w:r>
      <w:r>
        <w:rPr>
          <w:rFonts w:hint="eastAsia" w:ascii="楷体_GB2312" w:eastAsia="楷体_GB2312" w:cs="楷体_GB2312"/>
          <w:sz w:val="24"/>
        </w:rPr>
        <w:t>计息日</w:t>
      </w:r>
      <w:r>
        <w:rPr>
          <w:rFonts w:eastAsia="楷体_GB2312"/>
          <w:sz w:val="24"/>
        </w:rPr>
        <w:t>”</w:t>
      </w:r>
      <w:r>
        <w:rPr>
          <w:rFonts w:hint="eastAsia" w:ascii="楷体_GB2312" w:eastAsia="楷体_GB2312" w:cs="楷体_GB2312"/>
          <w:sz w:val="24"/>
        </w:rPr>
        <w:t>（含该日）至下一个</w:t>
      </w:r>
      <w:r>
        <w:rPr>
          <w:rFonts w:eastAsia="楷体_GB2312"/>
          <w:sz w:val="24"/>
        </w:rPr>
        <w:t>“</w:t>
      </w:r>
      <w:r>
        <w:rPr>
          <w:rFonts w:hint="eastAsia" w:ascii="楷体_GB2312" w:eastAsia="楷体_GB2312" w:cs="楷体_GB2312"/>
          <w:sz w:val="24"/>
        </w:rPr>
        <w:t>计息日</w:t>
      </w:r>
      <w:r>
        <w:rPr>
          <w:rFonts w:eastAsia="楷体_GB2312"/>
          <w:sz w:val="24"/>
        </w:rPr>
        <w:t>”</w:t>
      </w:r>
      <w:r>
        <w:rPr>
          <w:rFonts w:hint="eastAsia" w:ascii="楷体_GB2312" w:eastAsia="楷体_GB2312" w:cs="楷体_GB2312"/>
          <w:sz w:val="24"/>
        </w:rPr>
        <w:t>（不含该日）的期间</w:t>
      </w:r>
      <w:r>
        <w:rPr>
          <w:rFonts w:hint="eastAsia" w:ascii="楷体_GB2312" w:eastAsia="楷体_GB2312" w:cs="楷体_GB2312"/>
          <w:bCs/>
          <w:sz w:val="24"/>
        </w:rPr>
        <w:t>。当且仅当</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根据</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的约定受让全部</w:t>
      </w:r>
      <w:r>
        <w:rPr>
          <w:rFonts w:eastAsia="楷体_GB2312"/>
          <w:bCs/>
          <w:sz w:val="24"/>
        </w:rPr>
        <w:t>“</w:t>
      </w:r>
      <w:r>
        <w:rPr>
          <w:rFonts w:hint="eastAsia" w:ascii="楷体_GB2312" w:eastAsia="楷体_GB2312" w:cs="楷体_GB2312"/>
          <w:bCs/>
          <w:sz w:val="24"/>
        </w:rPr>
        <w:t>优先级信托受益权</w:t>
      </w:r>
      <w:r>
        <w:rPr>
          <w:rFonts w:eastAsia="楷体_GB2312"/>
          <w:bCs/>
          <w:sz w:val="24"/>
        </w:rPr>
        <w:t>”</w:t>
      </w:r>
      <w:r>
        <w:rPr>
          <w:rFonts w:hint="eastAsia" w:ascii="楷体_GB2312" w:eastAsia="楷体_GB2312" w:cs="楷体_GB2312"/>
          <w:bCs/>
          <w:sz w:val="24"/>
        </w:rPr>
        <w:t>并成为</w:t>
      </w:r>
      <w:r>
        <w:rPr>
          <w:rFonts w:eastAsia="楷体_GB2312"/>
          <w:bCs/>
          <w:sz w:val="24"/>
        </w:rPr>
        <w:t>“</w:t>
      </w:r>
      <w:r>
        <w:rPr>
          <w:rFonts w:hint="eastAsia" w:ascii="楷体_GB2312" w:eastAsia="楷体_GB2312" w:cs="楷体_GB2312"/>
          <w:bCs/>
          <w:sz w:val="24"/>
        </w:rPr>
        <w:t>信托</w:t>
      </w:r>
      <w:r>
        <w:rPr>
          <w:rFonts w:eastAsia="楷体_GB2312"/>
          <w:bCs/>
          <w:sz w:val="24"/>
        </w:rPr>
        <w:t>”</w:t>
      </w:r>
      <w:r>
        <w:rPr>
          <w:rFonts w:hint="eastAsia" w:ascii="楷体_GB2312" w:eastAsia="楷体_GB2312" w:cs="楷体_GB2312"/>
          <w:bCs/>
          <w:sz w:val="24"/>
        </w:rPr>
        <w:t>项下唯一</w:t>
      </w:r>
      <w:r>
        <w:rPr>
          <w:rFonts w:eastAsia="楷体_GB2312"/>
          <w:bCs/>
          <w:sz w:val="24"/>
        </w:rPr>
        <w:t>“</w:t>
      </w:r>
      <w:r>
        <w:rPr>
          <w:rFonts w:hint="eastAsia" w:ascii="楷体_GB2312" w:eastAsia="楷体_GB2312" w:cs="楷体_GB2312"/>
          <w:bCs/>
          <w:sz w:val="24"/>
        </w:rPr>
        <w:t>受益人</w:t>
      </w:r>
      <w:r>
        <w:rPr>
          <w:rFonts w:eastAsia="楷体_GB2312"/>
          <w:bCs/>
          <w:sz w:val="24"/>
        </w:rPr>
        <w:t>”</w:t>
      </w:r>
      <w:r>
        <w:rPr>
          <w:rFonts w:hint="eastAsia" w:ascii="楷体_GB2312" w:eastAsia="楷体_GB2312" w:cs="楷体_GB2312"/>
          <w:bCs/>
          <w:sz w:val="24"/>
        </w:rPr>
        <w:t>时，</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以扣除</w:t>
      </w:r>
      <w:r>
        <w:rPr>
          <w:rFonts w:eastAsia="楷体_GB2312"/>
          <w:sz w:val="24"/>
        </w:rPr>
        <w:t>“</w:t>
      </w:r>
      <w:r>
        <w:rPr>
          <w:rFonts w:hint="eastAsia" w:ascii="楷体_GB2312" w:eastAsia="楷体_GB2312" w:cs="楷体_GB2312"/>
          <w:sz w:val="24"/>
        </w:rPr>
        <w:t>信托</w:t>
      </w:r>
      <w:r>
        <w:rPr>
          <w:rFonts w:eastAsia="楷体_GB2312"/>
          <w:sz w:val="24"/>
        </w:rPr>
        <w:t>”</w:t>
      </w:r>
      <w:r>
        <w:rPr>
          <w:rFonts w:hint="eastAsia" w:ascii="楷体_GB2312" w:eastAsia="楷体_GB2312" w:cs="楷体_GB2312"/>
          <w:sz w:val="24"/>
        </w:rPr>
        <w:t>应承担的</w:t>
      </w:r>
      <w:r>
        <w:rPr>
          <w:rFonts w:eastAsia="楷体_GB2312"/>
          <w:sz w:val="24"/>
        </w:rPr>
        <w:t>“</w:t>
      </w:r>
      <w:r>
        <w:rPr>
          <w:rFonts w:hint="eastAsia" w:ascii="楷体_GB2312" w:eastAsia="楷体_GB2312" w:cs="楷体_GB2312"/>
          <w:sz w:val="24"/>
        </w:rPr>
        <w:t>税收</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费用支出</w:t>
      </w:r>
      <w:r>
        <w:rPr>
          <w:rFonts w:eastAsia="楷体_GB2312"/>
          <w:sz w:val="24"/>
        </w:rPr>
        <w:t>”</w:t>
      </w:r>
      <w:r>
        <w:rPr>
          <w:rFonts w:hint="eastAsia" w:ascii="楷体_GB2312" w:eastAsia="楷体_GB2312" w:cs="楷体_GB2312"/>
          <w:sz w:val="24"/>
        </w:rPr>
        <w:t>、报酬等费用后的</w:t>
      </w:r>
      <w:r>
        <w:rPr>
          <w:rFonts w:eastAsia="楷体_GB2312"/>
          <w:sz w:val="24"/>
        </w:rPr>
        <w:t>“</w:t>
      </w:r>
      <w:r>
        <w:rPr>
          <w:rFonts w:hint="eastAsia" w:ascii="楷体_GB2312" w:eastAsia="楷体_GB2312" w:cs="楷体_GB2312"/>
          <w:sz w:val="24"/>
        </w:rPr>
        <w:t>信托财产</w:t>
      </w:r>
      <w:r>
        <w:rPr>
          <w:rFonts w:eastAsia="楷体_GB2312"/>
          <w:sz w:val="24"/>
        </w:rPr>
        <w:t>”</w:t>
      </w:r>
      <w:r>
        <w:rPr>
          <w:rFonts w:hint="eastAsia" w:ascii="楷体_GB2312" w:eastAsia="楷体_GB2312" w:cs="楷体_GB2312"/>
          <w:sz w:val="24"/>
        </w:rPr>
        <w:t>为限向</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分配</w:t>
      </w:r>
      <w:bookmarkStart w:id="28" w:name="_Toc173860442"/>
      <w:bookmarkEnd w:id="28"/>
      <w:r>
        <w:rPr>
          <w:rFonts w:hint="eastAsia" w:ascii="楷体_GB2312" w:eastAsia="楷体_GB2312" w:cs="楷体_GB2312"/>
          <w:sz w:val="24"/>
        </w:rPr>
        <w:t>信托利益，不采用本金和利息方式核算、分配信托利益</w:t>
      </w:r>
      <w:r>
        <w:rPr>
          <w:rFonts w:hint="eastAsia" w:ascii="楷体_GB2312" w:eastAsia="楷体_GB2312" w:cs="楷体_GB2312"/>
          <w:bCs/>
          <w:sz w:val="24"/>
        </w:rPr>
        <w:t>。</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计息期间</w:t>
      </w:r>
      <w:r>
        <w:rPr>
          <w:rFonts w:hint="eastAsia" w:ascii="楷体_GB2312" w:eastAsia="楷体_GB2312" w:cs="楷体_GB2312"/>
          <w:b/>
          <w:i/>
          <w:color w:val="FF0000"/>
          <w:sz w:val="24"/>
          <w:u w:val="single"/>
          <w:lang w:val="en-US" w:eastAsia="zh-CN"/>
        </w:rPr>
        <w:t>相关定义和条款应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pStyle w:val="13"/>
        <w:spacing w:beforeLines="50" w:afterLines="50" w:line="240" w:lineRule="atLeast"/>
        <w:outlineLvl w:val="2"/>
        <w:rPr>
          <w:rFonts w:eastAsia="楷体_GB2312"/>
          <w:b/>
        </w:rPr>
      </w:pPr>
      <w:r>
        <w:rPr>
          <w:rFonts w:eastAsia="楷体_GB2312"/>
          <w:b/>
        </w:rPr>
        <w:t>3</w:t>
      </w:r>
      <w:r>
        <w:rPr>
          <w:rFonts w:hint="eastAsia" w:ascii="楷体_GB2312" w:eastAsia="楷体_GB2312" w:cs="楷体_GB2312"/>
          <w:b/>
        </w:rPr>
        <w:t>、报告类</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资产服务机构报告：</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所约定的格式准备的报告。</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资金保管报告：</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所约定的格式准备的报告。</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资产运营报告：</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所约定的格式准备的报告。</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划款指令：</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w:t>
      </w:r>
      <w:r>
        <w:rPr>
          <w:rFonts w:hint="eastAsia" w:ascii="楷体_GB2312" w:eastAsia="楷体_GB2312" w:cs="楷体_GB2312"/>
          <w:b/>
          <w:i/>
          <w:sz w:val="24"/>
        </w:rPr>
        <w:t>附件三</w:t>
      </w:r>
      <w:r>
        <w:rPr>
          <w:rFonts w:hint="eastAsia" w:ascii="楷体_GB2312" w:eastAsia="楷体_GB2312" w:cs="楷体_GB2312"/>
          <w:sz w:val="24"/>
        </w:rPr>
        <w:t>】所约定格式向</w:t>
      </w:r>
      <w:r>
        <w:rPr>
          <w:rFonts w:eastAsia="楷体_GB2312"/>
          <w:sz w:val="24"/>
        </w:rPr>
        <w:t>“</w:t>
      </w:r>
      <w:r>
        <w:rPr>
          <w:rFonts w:hint="eastAsia" w:ascii="楷体_GB2312" w:eastAsia="楷体_GB2312" w:cs="楷体_GB2312"/>
          <w:sz w:val="24"/>
        </w:rPr>
        <w:t>资金保管机</w:t>
      </w:r>
      <w:bookmarkStart w:id="29" w:name="_Hlk507250792"/>
      <w:r>
        <w:rPr>
          <w:rFonts w:hint="eastAsia" w:ascii="楷体_GB2312" w:eastAsia="楷体_GB2312" w:cs="楷体_GB2312"/>
          <w:sz w:val="24"/>
        </w:rPr>
        <w:t>构</w:t>
      </w:r>
      <w:r>
        <w:rPr>
          <w:rFonts w:eastAsia="楷体_GB2312"/>
          <w:sz w:val="24"/>
        </w:rPr>
        <w:t>”</w:t>
      </w:r>
      <w:r>
        <w:rPr>
          <w:rFonts w:hint="eastAsia" w:ascii="楷体_GB2312" w:eastAsia="楷体_GB2312" w:cs="楷体_GB2312"/>
          <w:sz w:val="24"/>
        </w:rPr>
        <w:t>发出的要求其划付</w:t>
      </w:r>
      <w:r>
        <w:rPr>
          <w:rFonts w:eastAsia="楷体_GB2312"/>
          <w:sz w:val="24"/>
        </w:rPr>
        <w:t>“</w:t>
      </w:r>
      <w:r>
        <w:rPr>
          <w:rFonts w:hint="eastAsia" w:ascii="楷体_GB2312" w:eastAsia="楷体_GB2312" w:cs="楷体_GB2312"/>
          <w:sz w:val="24"/>
        </w:rPr>
        <w:t>信托账户</w:t>
      </w:r>
      <w:r>
        <w:rPr>
          <w:rFonts w:eastAsia="楷体_GB2312"/>
          <w:sz w:val="24"/>
        </w:rPr>
        <w:t>”</w:t>
      </w:r>
      <w:bookmarkEnd w:id="29"/>
      <w:r>
        <w:rPr>
          <w:rFonts w:hint="eastAsia" w:ascii="楷体_GB2312" w:eastAsia="楷体_GB2312" w:cs="楷体_GB2312"/>
          <w:sz w:val="24"/>
        </w:rPr>
        <w:t>内的资金的指令。</w:t>
      </w:r>
    </w:p>
    <w:p>
      <w:pPr>
        <w:pStyle w:val="13"/>
        <w:spacing w:beforeLines="50" w:afterLines="50" w:line="240" w:lineRule="atLeast"/>
        <w:outlineLvl w:val="1"/>
        <w:rPr>
          <w:rFonts w:hint="eastAsia" w:ascii="楷体_GB2312" w:eastAsia="楷体_GB2312" w:cs="楷体_GB2312"/>
          <w:b/>
        </w:rPr>
      </w:pPr>
      <w:r>
        <w:rPr>
          <w:rFonts w:hint="eastAsia" w:ascii="楷体_GB2312" w:eastAsia="楷体_GB2312" w:cs="楷体_GB2312"/>
          <w:b/>
        </w:rPr>
        <w:t>（五）事件</w:t>
      </w:r>
      <w:bookmarkStart w:id="30" w:name="_Ref504412588"/>
      <w:r>
        <w:rPr>
          <w:rFonts w:hint="eastAsia" w:ascii="楷体_GB2312" w:eastAsia="楷体_GB2312" w:cs="楷体_GB2312"/>
          <w:b/>
        </w:rPr>
        <w:t>与指标的定义</w:t>
      </w:r>
      <w:bookmarkEnd w:id="30"/>
    </w:p>
    <w:p>
      <w:pPr>
        <w:pStyle w:val="13"/>
        <w:spacing w:beforeLines="50" w:afterLines="50" w:line="240" w:lineRule="atLeast"/>
        <w:outlineLvl w:val="1"/>
        <w:rPr>
          <w:rFonts w:hint="eastAsia" w:ascii="楷体_GB2312" w:eastAsia="楷体_GB2312" w:cs="楷体_GB2312"/>
          <w:b/>
          <w:u w:val="single"/>
        </w:rPr>
      </w:pPr>
      <w:r>
        <w:rPr>
          <w:rFonts w:hint="eastAsia" w:ascii="楷体_GB2312" w:eastAsia="楷体_GB2312" w:cs="楷体_GB2312"/>
          <w:b/>
          <w:i/>
          <w:color w:val="FF0000"/>
          <w:kern w:val="0"/>
          <w:u w:val="single"/>
          <w:lang w:val="en-US" w:eastAsia="zh-CN"/>
        </w:rPr>
        <w:t>资产支持商业票据的事件和指标的设置应根据实际情况修改。</w:t>
      </w:r>
    </w:p>
    <w:p>
      <w:pPr>
        <w:pStyle w:val="13"/>
        <w:spacing w:beforeLines="50" w:afterLines="50" w:line="240" w:lineRule="atLeast"/>
        <w:outlineLvl w:val="2"/>
        <w:rPr>
          <w:rFonts w:eastAsia="楷体_GB2312"/>
          <w:b/>
        </w:rPr>
      </w:pPr>
      <w:r>
        <w:rPr>
          <w:rFonts w:eastAsia="楷体_GB2312"/>
          <w:b/>
        </w:rPr>
        <w:t>1</w:t>
      </w:r>
      <w:r>
        <w:rPr>
          <w:rFonts w:hint="eastAsia" w:ascii="楷体_GB2312" w:eastAsia="楷体_GB2312" w:cs="楷体_GB2312"/>
          <w:b/>
        </w:rPr>
        <w:t>、项目涉及的重大事件</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加速清偿事件：</w:t>
      </w:r>
      <w:r>
        <w:rPr>
          <w:rFonts w:hint="eastAsia" w:ascii="楷体_GB2312" w:eastAsia="楷体_GB2312" w:cs="楷体_GB2312"/>
          <w:kern w:val="0"/>
          <w:sz w:val="24"/>
        </w:rPr>
        <w:t>系指以下任一事件：</w:t>
      </w:r>
    </w:p>
    <w:p>
      <w:pPr>
        <w:adjustRightInd w:val="0"/>
        <w:spacing w:beforeLines="50" w:afterLines="50" w:line="240" w:lineRule="atLeast"/>
        <w:ind w:left="851"/>
        <w:textAlignment w:val="baseline"/>
        <w:rPr>
          <w:rFonts w:eastAsia="楷体_GB2312"/>
          <w:kern w:val="0"/>
          <w:sz w:val="24"/>
        </w:rPr>
      </w:pPr>
      <w:r>
        <w:rPr>
          <w:rFonts w:hint="eastAsia" w:ascii="楷体_GB2312" w:eastAsia="楷体_GB2312" w:cs="楷体_GB2312"/>
          <w:kern w:val="0"/>
          <w:sz w:val="24"/>
        </w:rPr>
        <w:t>自动生效的加速清偿事件：</w:t>
      </w:r>
    </w:p>
    <w:p>
      <w:pPr>
        <w:numPr>
          <w:ilvl w:val="0"/>
          <w:numId w:val="10"/>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委</w:t>
      </w:r>
      <w:bookmarkStart w:id="31" w:name="_Ref504412625"/>
      <w:r>
        <w:rPr>
          <w:rFonts w:hint="eastAsia" w:ascii="楷体_GB2312" w:eastAsia="楷体_GB2312" w:cs="楷体_GB2312"/>
          <w:kern w:val="0"/>
          <w:sz w:val="24"/>
        </w:rPr>
        <w:t>托人</w:t>
      </w:r>
      <w:r>
        <w:rPr>
          <w:rFonts w:eastAsia="楷体_GB2312"/>
          <w:kern w:val="0"/>
          <w:sz w:val="24"/>
        </w:rPr>
        <w:t>”</w:t>
      </w:r>
      <w:bookmarkEnd w:id="31"/>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【差额支付承诺人】</w:t>
      </w:r>
      <w:r>
        <w:rPr>
          <w:rFonts w:eastAsia="楷体_GB2312"/>
          <w:kern w:val="0"/>
          <w:sz w:val="24"/>
        </w:rPr>
        <w:t>”</w:t>
      </w:r>
      <w:r>
        <w:rPr>
          <w:rFonts w:hint="eastAsia" w:ascii="楷体_GB2312" w:eastAsia="楷体_GB2312" w:cs="楷体_GB2312"/>
          <w:kern w:val="0"/>
          <w:sz w:val="24"/>
        </w:rPr>
        <w:t>发生任何</w:t>
      </w:r>
      <w:r>
        <w:rPr>
          <w:rFonts w:eastAsia="楷体_GB2312"/>
          <w:kern w:val="0"/>
          <w:sz w:val="24"/>
        </w:rPr>
        <w:t>“</w:t>
      </w:r>
      <w:r>
        <w:rPr>
          <w:rFonts w:hint="eastAsia" w:ascii="楷体_GB2312" w:eastAsia="楷体_GB2312" w:cs="楷体_GB2312"/>
          <w:kern w:val="0"/>
          <w:sz w:val="24"/>
        </w:rPr>
        <w:t>丧失清偿能力事件</w:t>
      </w:r>
      <w:r>
        <w:rPr>
          <w:rFonts w:eastAsia="楷体_GB2312"/>
          <w:kern w:val="0"/>
          <w:sz w:val="24"/>
        </w:rPr>
        <w:t>”</w:t>
      </w:r>
      <w:r>
        <w:rPr>
          <w:rFonts w:hint="eastAsia" w:ascii="楷体_GB2312" w:eastAsia="楷体_GB2312" w:cs="楷体_GB2312"/>
          <w:kern w:val="0"/>
          <w:sz w:val="24"/>
        </w:rPr>
        <w:t>；</w:t>
      </w:r>
    </w:p>
    <w:p>
      <w:pPr>
        <w:numPr>
          <w:ilvl w:val="0"/>
          <w:numId w:val="10"/>
        </w:numPr>
        <w:spacing w:beforeLines="50" w:afterLines="50" w:line="240" w:lineRule="atLeast"/>
        <w:rPr>
          <w:rFonts w:eastAsia="楷体_GB2312"/>
          <w:kern w:val="0"/>
          <w:sz w:val="24"/>
        </w:rPr>
      </w:pPr>
      <w:r>
        <w:rPr>
          <w:rFonts w:hint="eastAsia" w:ascii="楷体_GB2312" w:eastAsia="楷体_GB2312" w:cs="楷体_GB2312"/>
          <w:kern w:val="0"/>
          <w:sz w:val="24"/>
        </w:rPr>
        <w:t>发</w:t>
      </w:r>
      <w:bookmarkStart w:id="32" w:name="_Hlk507250809"/>
      <w:r>
        <w:rPr>
          <w:rFonts w:hint="eastAsia" w:ascii="楷体_GB2312" w:eastAsia="楷体_GB2312" w:cs="楷体_GB2312"/>
          <w:kern w:val="0"/>
          <w:sz w:val="24"/>
        </w:rPr>
        <w:t>生任何</w:t>
      </w:r>
      <w:r>
        <w:rPr>
          <w:rFonts w:eastAsia="楷体_GB2312"/>
          <w:kern w:val="0"/>
          <w:sz w:val="24"/>
        </w:rPr>
        <w:t>“</w:t>
      </w:r>
      <w:r>
        <w:rPr>
          <w:rFonts w:hint="eastAsia" w:ascii="楷体_GB2312" w:eastAsia="楷体_GB2312" w:cs="楷体_GB2312"/>
          <w:kern w:val="0"/>
          <w:sz w:val="24"/>
        </w:rPr>
        <w:t>资产服务机构解任事件</w:t>
      </w:r>
      <w:r>
        <w:rPr>
          <w:rFonts w:eastAsia="楷体_GB2312"/>
          <w:kern w:val="0"/>
          <w:sz w:val="24"/>
        </w:rPr>
        <w:t>”</w:t>
      </w:r>
      <w:r>
        <w:rPr>
          <w:rFonts w:hint="eastAsia" w:ascii="楷体_GB2312" w:eastAsia="楷体_GB2312" w:cs="楷体_GB2312"/>
          <w:kern w:val="0"/>
          <w:sz w:val="24"/>
        </w:rPr>
        <w:t>；</w:t>
      </w:r>
      <w:bookmarkEnd w:id="32"/>
    </w:p>
    <w:p>
      <w:pPr>
        <w:numPr>
          <w:ilvl w:val="0"/>
          <w:numId w:val="10"/>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未能依据</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按时付款或划转资金；</w:t>
      </w:r>
    </w:p>
    <w:p>
      <w:pPr>
        <w:numPr>
          <w:ilvl w:val="0"/>
          <w:numId w:val="10"/>
        </w:numPr>
        <w:spacing w:beforeLines="50" w:afterLines="50" w:line="240" w:lineRule="atLeast"/>
        <w:rPr>
          <w:rFonts w:eastAsia="楷体_GB2312"/>
          <w:kern w:val="0"/>
          <w:sz w:val="24"/>
        </w:rPr>
      </w:pP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的约定，需要更换</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或必须任命</w:t>
      </w:r>
      <w:r>
        <w:rPr>
          <w:rFonts w:eastAsia="楷体_GB2312"/>
          <w:sz w:val="24"/>
        </w:rPr>
        <w:t>“</w:t>
      </w:r>
      <w:r>
        <w:rPr>
          <w:rFonts w:hint="eastAsia" w:ascii="楷体_GB2312" w:eastAsia="楷体_GB2312" w:cs="楷体_GB2312"/>
          <w:sz w:val="24"/>
        </w:rPr>
        <w:t>后备</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，但在【】日内，仍无法找到合格的继任的</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后备</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，或</w:t>
      </w:r>
      <w:r>
        <w:rPr>
          <w:rFonts w:hint="eastAsia" w:ascii="楷体_GB2312" w:eastAsia="楷体_GB2312" w:cs="楷体_GB2312"/>
          <w:kern w:val="0"/>
          <w:sz w:val="24"/>
        </w:rPr>
        <w:t>（</w:t>
      </w:r>
      <w:r>
        <w:rPr>
          <w:rFonts w:eastAsia="楷体_GB2312"/>
          <w:kern w:val="0"/>
          <w:sz w:val="24"/>
        </w:rPr>
        <w:t>2</w:t>
      </w:r>
      <w:r>
        <w:rPr>
          <w:rFonts w:hint="eastAsia" w:ascii="楷体_GB2312" w:eastAsia="楷体_GB2312" w:cs="楷体_GB2312"/>
          <w:kern w:val="0"/>
          <w:sz w:val="24"/>
        </w:rPr>
        <w:t>）在已经委任</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的情况下，该</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停止根据</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提供</w:t>
      </w:r>
      <w:r>
        <w:rPr>
          <w:rFonts w:eastAsia="楷体_GB2312"/>
          <w:kern w:val="0"/>
          <w:sz w:val="24"/>
        </w:rPr>
        <w:t>“</w:t>
      </w:r>
      <w:r>
        <w:rPr>
          <w:rFonts w:hint="eastAsia" w:ascii="楷体_GB2312" w:eastAsia="楷体_GB2312" w:cs="楷体_GB2312"/>
          <w:kern w:val="0"/>
          <w:sz w:val="24"/>
        </w:rPr>
        <w:t>后备服务</w:t>
      </w:r>
      <w:r>
        <w:rPr>
          <w:rFonts w:eastAsia="楷体_GB2312"/>
          <w:kern w:val="0"/>
          <w:sz w:val="24"/>
        </w:rPr>
        <w:t>”</w:t>
      </w:r>
      <w:r>
        <w:rPr>
          <w:rFonts w:hint="eastAsia" w:ascii="楷体_GB2312" w:eastAsia="楷体_GB2312" w:cs="楷体_GB2312"/>
          <w:kern w:val="0"/>
          <w:sz w:val="24"/>
        </w:rPr>
        <w:t>，或（</w:t>
      </w:r>
      <w:r>
        <w:rPr>
          <w:rFonts w:eastAsia="楷体_GB2312"/>
          <w:kern w:val="0"/>
          <w:sz w:val="24"/>
        </w:rPr>
        <w:t>3</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被免职时，未能根据</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任命继任者；</w:t>
      </w:r>
    </w:p>
    <w:p>
      <w:pPr>
        <w:numPr>
          <w:ilvl w:val="0"/>
          <w:numId w:val="10"/>
        </w:numPr>
        <w:spacing w:beforeLines="50" w:afterLines="50" w:line="240" w:lineRule="atLeast"/>
        <w:rPr>
          <w:rFonts w:eastAsia="楷体_GB2312"/>
          <w:sz w:val="24"/>
        </w:rPr>
      </w:pP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信托生效日</w:t>
      </w:r>
      <w:r>
        <w:rPr>
          <w:rFonts w:eastAsia="楷体_GB2312"/>
          <w:kern w:val="0"/>
          <w:sz w:val="24"/>
        </w:rPr>
        <w:t>”</w:t>
      </w:r>
      <w:r>
        <w:rPr>
          <w:rFonts w:hint="eastAsia" w:ascii="楷体_GB2312" w:eastAsia="楷体_GB2312" w:cs="楷体_GB2312"/>
          <w:kern w:val="0"/>
          <w:sz w:val="24"/>
        </w:rPr>
        <w:t>后的某一</w:t>
      </w:r>
      <w:r>
        <w:rPr>
          <w:rFonts w:eastAsia="楷体_GB2312"/>
          <w:kern w:val="0"/>
          <w:sz w:val="24"/>
        </w:rPr>
        <w:t>“</w:t>
      </w:r>
      <w:r>
        <w:rPr>
          <w:rFonts w:hint="eastAsia" w:ascii="楷体_GB2312" w:eastAsia="楷体_GB2312" w:cs="楷体_GB2312"/>
          <w:kern w:val="0"/>
          <w:sz w:val="24"/>
        </w:rPr>
        <w:t>收款期间</w:t>
      </w:r>
      <w:r>
        <w:rPr>
          <w:rFonts w:eastAsia="楷体_GB2312"/>
          <w:kern w:val="0"/>
          <w:sz w:val="24"/>
        </w:rPr>
        <w:t>”</w:t>
      </w:r>
      <w:r>
        <w:rPr>
          <w:rFonts w:hint="eastAsia" w:ascii="楷体_GB2312" w:eastAsia="楷体_GB2312" w:cs="楷体_GB2312"/>
          <w:kern w:val="0"/>
          <w:sz w:val="24"/>
        </w:rPr>
        <w:t>结束时，</w:t>
      </w:r>
      <w:r>
        <w:rPr>
          <w:rFonts w:eastAsia="楷体_GB2312"/>
          <w:kern w:val="0"/>
          <w:sz w:val="24"/>
        </w:rPr>
        <w:t>“</w:t>
      </w:r>
      <w:bookmarkStart w:id="33" w:name="_Ref504412606"/>
      <w:bookmarkEnd w:id="33"/>
      <w:r>
        <w:rPr>
          <w:rFonts w:hint="eastAsia" w:ascii="楷体_GB2312" w:eastAsia="楷体_GB2312" w:cs="楷体_GB2312"/>
          <w:kern w:val="0"/>
          <w:sz w:val="24"/>
        </w:rPr>
        <w:t>累计违约率</w:t>
      </w:r>
      <w:r>
        <w:rPr>
          <w:rFonts w:eastAsia="楷体_GB2312"/>
          <w:kern w:val="0"/>
          <w:sz w:val="24"/>
        </w:rPr>
        <w:t>”</w:t>
      </w:r>
      <w:r>
        <w:rPr>
          <w:rFonts w:hint="eastAsia" w:ascii="楷体_GB2312" w:eastAsia="楷体_GB2312" w:cs="楷体_GB2312"/>
          <w:kern w:val="0"/>
          <w:sz w:val="24"/>
        </w:rPr>
        <w:t>超过【】</w:t>
      </w:r>
      <w:r>
        <w:rPr>
          <w:rFonts w:eastAsia="楷体_GB2312"/>
          <w:kern w:val="0"/>
          <w:sz w:val="24"/>
        </w:rPr>
        <w:t>%</w:t>
      </w:r>
      <w:r>
        <w:rPr>
          <w:rFonts w:hint="eastAsia" w:ascii="楷体_GB2312" w:eastAsia="楷体_GB2312" w:cs="楷体_GB2312"/>
          <w:kern w:val="0"/>
          <w:sz w:val="24"/>
        </w:rPr>
        <w:t>；</w:t>
      </w:r>
    </w:p>
    <w:p>
      <w:pPr>
        <w:numPr>
          <w:ilvl w:val="0"/>
          <w:numId w:val="10"/>
        </w:numPr>
        <w:spacing w:beforeLines="50" w:afterLines="50" w:line="240" w:lineRule="atLeast"/>
        <w:rPr>
          <w:rFonts w:eastAsia="楷体_GB2312"/>
          <w:sz w:val="24"/>
        </w:rPr>
      </w:pPr>
      <w:r>
        <w:rPr>
          <w:rFonts w:hint="eastAsia" w:ascii="楷体_GB2312" w:eastAsia="楷体_GB2312" w:cs="楷体_GB2312"/>
          <w:kern w:val="0"/>
          <w:sz w:val="24"/>
        </w:rPr>
        <w:t>“评级机构”给予“【差额支付承诺人】”的的主体长期信用等级低于【】级；</w:t>
      </w:r>
    </w:p>
    <w:p>
      <w:pPr>
        <w:numPr>
          <w:ilvl w:val="0"/>
          <w:numId w:val="10"/>
        </w:numPr>
        <w:spacing w:beforeLines="50" w:afterLines="50" w:line="240" w:lineRule="atLeast"/>
        <w:rPr>
          <w:rFonts w:eastAsia="楷体_GB2312"/>
          <w:bCs/>
          <w:sz w:val="24"/>
        </w:rPr>
      </w:pPr>
      <w:r>
        <w:rPr>
          <w:rFonts w:hint="eastAsia" w:ascii="楷体_GB2312" w:eastAsia="楷体_GB2312" w:cs="楷体_GB2312"/>
          <w:bCs/>
          <w:sz w:val="24"/>
        </w:rPr>
        <w:t>发生</w:t>
      </w:r>
      <w:r>
        <w:rPr>
          <w:rFonts w:eastAsia="楷体_GB2312"/>
          <w:bCs/>
          <w:sz w:val="24"/>
        </w:rPr>
        <w:t>“</w:t>
      </w:r>
      <w:r>
        <w:rPr>
          <w:rFonts w:hint="eastAsia" w:ascii="楷体_GB2312" w:eastAsia="楷体_GB2312" w:cs="楷体_GB2312"/>
          <w:bCs/>
          <w:sz w:val="24"/>
        </w:rPr>
        <w:t>违约事件</w:t>
      </w:r>
      <w:r>
        <w:rPr>
          <w:rFonts w:eastAsia="楷体_GB2312"/>
          <w:bCs/>
          <w:sz w:val="24"/>
        </w:rPr>
        <w:t>”</w:t>
      </w:r>
      <w:r>
        <w:rPr>
          <w:rFonts w:hint="eastAsia" w:ascii="楷体_GB2312" w:eastAsia="楷体_GB2312" w:cs="楷体_GB2312"/>
          <w:bCs/>
          <w:sz w:val="24"/>
        </w:rPr>
        <w:t>中所列的</w:t>
      </w:r>
      <w:r>
        <w:rPr>
          <w:rFonts w:eastAsia="楷体_GB2312"/>
          <w:bCs/>
          <w:sz w:val="24"/>
        </w:rPr>
        <w:t>(c)</w:t>
      </w:r>
      <w:r>
        <w:rPr>
          <w:rFonts w:hint="eastAsia" w:ascii="楷体_GB2312" w:eastAsia="楷体_GB2312" w:cs="楷体_GB2312"/>
          <w:bCs/>
          <w:sz w:val="24"/>
        </w:rPr>
        <w:t>项，且</w:t>
      </w:r>
      <w:r>
        <w:rPr>
          <w:rFonts w:eastAsia="楷体_GB2312"/>
          <w:bCs/>
          <w:sz w:val="24"/>
        </w:rPr>
        <w:t>“</w:t>
      </w:r>
      <w:r>
        <w:rPr>
          <w:rFonts w:hint="eastAsia" w:ascii="楷体_GB2312" w:eastAsia="楷体_GB2312" w:cs="楷体_GB2312"/>
          <w:kern w:val="0"/>
          <w:sz w:val="24"/>
        </w:rPr>
        <w:t>资产支持商业票据</w:t>
      </w:r>
      <w:r>
        <w:rPr>
          <w:rFonts w:hint="eastAsia" w:ascii="楷体_GB2312" w:eastAsia="楷体_GB2312" w:cs="楷体_GB2312"/>
          <w:bCs/>
          <w:sz w:val="24"/>
        </w:rPr>
        <w:t>持有人会议</w:t>
      </w:r>
      <w:r>
        <w:rPr>
          <w:rFonts w:eastAsia="楷体_GB2312"/>
          <w:bCs/>
          <w:sz w:val="24"/>
        </w:rPr>
        <w:t>”</w:t>
      </w:r>
      <w:r>
        <w:rPr>
          <w:rFonts w:hint="eastAsia" w:ascii="楷体_GB2312" w:eastAsia="楷体_GB2312" w:cs="楷体_GB2312"/>
          <w:bCs/>
          <w:sz w:val="24"/>
        </w:rPr>
        <w:t>尚未决定宣布发生</w:t>
      </w:r>
      <w:r>
        <w:rPr>
          <w:rFonts w:eastAsia="楷体_GB2312"/>
          <w:bCs/>
          <w:sz w:val="24"/>
        </w:rPr>
        <w:t>“</w:t>
      </w:r>
      <w:r>
        <w:rPr>
          <w:rFonts w:hint="eastAsia" w:ascii="楷体_GB2312" w:eastAsia="楷体_GB2312" w:cs="楷体_GB2312"/>
          <w:bCs/>
          <w:sz w:val="24"/>
        </w:rPr>
        <w:t>违约事件</w:t>
      </w:r>
      <w:r>
        <w:rPr>
          <w:rFonts w:eastAsia="楷体_GB2312"/>
          <w:bCs/>
          <w:sz w:val="24"/>
        </w:rPr>
        <w:t>”</w:t>
      </w:r>
      <w:r>
        <w:rPr>
          <w:rFonts w:hint="eastAsia" w:ascii="楷体_GB2312" w:eastAsia="楷体_GB2312" w:cs="楷体_GB2312"/>
          <w:bCs/>
          <w:sz w:val="24"/>
        </w:rPr>
        <w:t>；</w:t>
      </w:r>
    </w:p>
    <w:p>
      <w:pPr>
        <w:adjustRightInd w:val="0"/>
        <w:spacing w:beforeLines="50" w:afterLines="50" w:line="240" w:lineRule="atLeast"/>
        <w:ind w:left="851"/>
        <w:textAlignment w:val="baseline"/>
        <w:rPr>
          <w:rFonts w:eastAsia="楷体_GB2312"/>
          <w:kern w:val="0"/>
          <w:sz w:val="24"/>
        </w:rPr>
      </w:pPr>
      <w:bookmarkStart w:id="34" w:name="_Ref504412596"/>
      <w:bookmarkEnd w:id="34"/>
      <w:r>
        <w:rPr>
          <w:rFonts w:hint="eastAsia" w:ascii="楷体_GB2312" w:eastAsia="楷体_GB2312" w:cs="楷体_GB2312"/>
          <w:kern w:val="0"/>
          <w:sz w:val="24"/>
        </w:rPr>
        <w:t>需经宣布生效的加速清偿事件：</w:t>
      </w:r>
    </w:p>
    <w:p>
      <w:pPr>
        <w:numPr>
          <w:ilvl w:val="0"/>
          <w:numId w:val="10"/>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未能履行或遵守其在</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项下的任何主要义务（上述</w:t>
      </w:r>
      <w:r>
        <w:rPr>
          <w:rFonts w:eastAsia="楷体_GB2312"/>
          <w:kern w:val="0"/>
          <w:sz w:val="24"/>
        </w:rPr>
        <w:t>(c)</w:t>
      </w:r>
      <w:r>
        <w:rPr>
          <w:rFonts w:hint="eastAsia" w:ascii="楷体_GB2312" w:eastAsia="楷体_GB2312" w:cs="楷体_GB2312"/>
          <w:kern w:val="0"/>
          <w:sz w:val="24"/>
        </w:rPr>
        <w:t>项规定的义务除外），并且</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合理地认为该等行为无法补救或在</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发出要求其补救的书面通知后【】天内未能得到补救；</w:t>
      </w:r>
    </w:p>
    <w:p>
      <w:pPr>
        <w:numPr>
          <w:ilvl w:val="0"/>
          <w:numId w:val="10"/>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中提供的任何陈述、保证</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资产保证</w:t>
      </w:r>
      <w:r>
        <w:rPr>
          <w:rFonts w:eastAsia="楷体_GB2312"/>
          <w:sz w:val="24"/>
        </w:rPr>
        <w:t>”</w:t>
      </w:r>
      <w:r>
        <w:rPr>
          <w:rFonts w:hint="eastAsia" w:ascii="楷体_GB2312" w:eastAsia="楷体_GB2312" w:cs="楷体_GB2312"/>
          <w:sz w:val="24"/>
        </w:rPr>
        <w:t>除外）</w:t>
      </w:r>
      <w:r>
        <w:rPr>
          <w:rFonts w:hint="eastAsia" w:ascii="楷体_GB2312" w:eastAsia="楷体_GB2312" w:cs="楷体_GB2312"/>
          <w:kern w:val="0"/>
          <w:sz w:val="24"/>
        </w:rPr>
        <w:t>在提供时便有重大不实或误</w:t>
      </w:r>
      <w:bookmarkStart w:id="35" w:name="_Ref504412617"/>
      <w:r>
        <w:rPr>
          <w:rFonts w:hint="eastAsia" w:ascii="楷体_GB2312" w:eastAsia="楷体_GB2312" w:cs="楷体_GB2312"/>
          <w:kern w:val="0"/>
          <w:sz w:val="24"/>
        </w:rPr>
        <w:t>导成分；</w:t>
      </w:r>
      <w:bookmarkEnd w:id="35"/>
    </w:p>
    <w:p>
      <w:pPr>
        <w:numPr>
          <w:ilvl w:val="0"/>
          <w:numId w:val="10"/>
        </w:numPr>
        <w:spacing w:beforeLines="50" w:afterLines="50" w:line="240" w:lineRule="atLeast"/>
        <w:rPr>
          <w:rFonts w:eastAsia="楷体_GB2312"/>
          <w:kern w:val="0"/>
          <w:sz w:val="24"/>
        </w:rPr>
      </w:pPr>
      <w:r>
        <w:rPr>
          <w:rFonts w:hint="eastAsia" w:ascii="楷体_GB2312" w:eastAsia="楷体_GB2312" w:cs="楷体_GB2312"/>
          <w:kern w:val="0"/>
          <w:sz w:val="24"/>
        </w:rPr>
        <w:t>发生对</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或者</w:t>
      </w:r>
      <w:r>
        <w:rPr>
          <w:rFonts w:eastAsia="楷体_GB2312"/>
          <w:kern w:val="0"/>
          <w:sz w:val="24"/>
        </w:rPr>
        <w:t>“</w:t>
      </w:r>
      <w:r>
        <w:rPr>
          <w:rFonts w:hint="eastAsia" w:ascii="楷体_GB2312" w:eastAsia="楷体_GB2312" w:cs="楷体_GB2312"/>
          <w:kern w:val="0"/>
          <w:sz w:val="24"/>
        </w:rPr>
        <w:t>资产池</w:t>
      </w:r>
      <w:r>
        <w:rPr>
          <w:rFonts w:eastAsia="楷体_GB2312"/>
          <w:kern w:val="0"/>
          <w:sz w:val="24"/>
        </w:rPr>
        <w:t>”</w:t>
      </w:r>
      <w:r>
        <w:rPr>
          <w:rFonts w:hint="eastAsia" w:ascii="楷体_GB2312" w:eastAsia="楷体_GB2312" w:cs="楷体_GB2312"/>
          <w:kern w:val="0"/>
          <w:sz w:val="24"/>
        </w:rPr>
        <w:t>有</w:t>
      </w:r>
      <w:r>
        <w:rPr>
          <w:rFonts w:eastAsia="楷体_GB2312"/>
          <w:kern w:val="0"/>
          <w:sz w:val="24"/>
        </w:rPr>
        <w:t>“</w:t>
      </w:r>
      <w:r>
        <w:rPr>
          <w:rFonts w:hint="eastAsia" w:ascii="楷体_GB2312" w:eastAsia="楷体_GB2312" w:cs="楷体_GB2312"/>
          <w:kern w:val="0"/>
          <w:sz w:val="24"/>
        </w:rPr>
        <w:t>重大不利影响</w:t>
      </w:r>
      <w:r>
        <w:rPr>
          <w:rFonts w:eastAsia="楷体_GB2312"/>
          <w:kern w:val="0"/>
          <w:sz w:val="24"/>
        </w:rPr>
        <w:t>”</w:t>
      </w:r>
      <w:r>
        <w:rPr>
          <w:rFonts w:hint="eastAsia" w:ascii="楷体_GB2312" w:eastAsia="楷体_GB2312" w:cs="楷体_GB2312"/>
          <w:kern w:val="0"/>
          <w:sz w:val="24"/>
        </w:rPr>
        <w:t>的事件；</w:t>
      </w:r>
    </w:p>
    <w:p>
      <w:pPr>
        <w:numPr>
          <w:ilvl w:val="0"/>
          <w:numId w:val="10"/>
        </w:numPr>
        <w:spacing w:beforeLines="50" w:afterLines="50" w:line="240" w:lineRule="atLeast"/>
        <w:rPr>
          <w:rFonts w:eastAsia="楷体_GB2312"/>
          <w:kern w:val="0"/>
          <w:sz w:val="24"/>
        </w:rPr>
      </w:pPr>
      <w:r>
        <w:rPr>
          <w:rFonts w:eastAsia="楷体_GB2312"/>
          <w:bCs/>
          <w:sz w:val="24"/>
        </w:rPr>
        <w:t>“</w:t>
      </w:r>
      <w:r>
        <w:rPr>
          <w:rFonts w:hint="eastAsia" w:ascii="楷体_GB2312" w:eastAsia="楷体_GB2312" w:cs="楷体_GB2312"/>
          <w:sz w:val="24"/>
        </w:rPr>
        <w:t>《主定义表》</w:t>
      </w:r>
      <w:r>
        <w:rPr>
          <w:rFonts w:eastAsia="楷体_GB2312"/>
          <w:bCs/>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kern w:val="0"/>
          <w:sz w:val="24"/>
        </w:rPr>
        <w:t>全部或部分被终止，成为或将成为无效、违法或不可根据其条款主张权利，并由此产生</w:t>
      </w:r>
      <w:r>
        <w:rPr>
          <w:rFonts w:eastAsia="楷体_GB2312"/>
          <w:kern w:val="0"/>
          <w:sz w:val="24"/>
        </w:rPr>
        <w:t>“</w:t>
      </w:r>
      <w:r>
        <w:rPr>
          <w:rFonts w:hint="eastAsia" w:ascii="楷体_GB2312" w:eastAsia="楷体_GB2312" w:cs="楷体_GB2312"/>
          <w:kern w:val="0"/>
          <w:sz w:val="24"/>
        </w:rPr>
        <w:t>重大不利影响</w:t>
      </w:r>
      <w:r>
        <w:rPr>
          <w:rFonts w:eastAsia="楷体_GB2312"/>
          <w:kern w:val="0"/>
          <w:sz w:val="24"/>
        </w:rPr>
        <w:t>”</w:t>
      </w:r>
      <w:r>
        <w:rPr>
          <w:rFonts w:hint="eastAsia" w:ascii="楷体_GB2312" w:eastAsia="楷体_GB2312" w:cs="楷体_GB2312"/>
          <w:kern w:val="0"/>
          <w:sz w:val="24"/>
        </w:rPr>
        <w:t>。</w:t>
      </w:r>
    </w:p>
    <w:p>
      <w:pPr>
        <w:adjustRightInd w:val="0"/>
        <w:spacing w:beforeLines="50" w:afterLines="50" w:line="240" w:lineRule="atLeast"/>
        <w:ind w:left="851"/>
        <w:textAlignment w:val="baseline"/>
        <w:rPr>
          <w:rFonts w:eastAsia="楷体_GB2312"/>
          <w:kern w:val="0"/>
          <w:sz w:val="24"/>
        </w:rPr>
      </w:pPr>
      <w:r>
        <w:rPr>
          <w:rFonts w:hint="eastAsia" w:ascii="楷体_GB2312" w:eastAsia="楷体_GB2312" w:cs="楷体_GB2312"/>
          <w:kern w:val="0"/>
          <w:sz w:val="24"/>
        </w:rPr>
        <w:t>发生以上</w:t>
      </w:r>
      <w:r>
        <w:rPr>
          <w:rFonts w:eastAsia="楷体_GB2312"/>
          <w:sz w:val="24"/>
        </w:rPr>
        <w:t>(a)</w:t>
      </w:r>
      <w:r>
        <w:rPr>
          <w:rFonts w:hint="eastAsia" w:ascii="楷体_GB2312" w:eastAsia="楷体_GB2312" w:cs="楷体_GB2312"/>
          <w:kern w:val="0"/>
          <w:sz w:val="24"/>
        </w:rPr>
        <w:t>项至</w:t>
      </w:r>
      <w:r>
        <w:rPr>
          <w:rFonts w:eastAsia="楷体_GB2312"/>
          <w:sz w:val="24"/>
        </w:rPr>
        <w:t>(g)</w:t>
      </w:r>
      <w:r>
        <w:rPr>
          <w:rFonts w:hint="eastAsia" w:ascii="楷体_GB2312" w:eastAsia="楷体_GB2312" w:cs="楷体_GB2312"/>
          <w:kern w:val="0"/>
          <w:sz w:val="24"/>
        </w:rPr>
        <w:t>项所列的任何一起自动生效的</w:t>
      </w:r>
      <w:r>
        <w:rPr>
          <w:rFonts w:eastAsia="楷体_GB2312"/>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时，</w:t>
      </w:r>
      <w:r>
        <w:rPr>
          <w:rFonts w:eastAsia="楷体_GB2312"/>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应视为在该等事件发生之日发生。发生以上</w:t>
      </w:r>
      <w:r>
        <w:rPr>
          <w:rFonts w:eastAsia="楷体_GB2312"/>
          <w:sz w:val="24"/>
        </w:rPr>
        <w:t>(h)</w:t>
      </w:r>
      <w:r>
        <w:rPr>
          <w:rFonts w:hint="eastAsia" w:ascii="楷体_GB2312" w:eastAsia="楷体_GB2312" w:cs="楷体_GB2312"/>
          <w:kern w:val="0"/>
          <w:sz w:val="24"/>
        </w:rPr>
        <w:t>项至</w:t>
      </w:r>
      <w:r>
        <w:rPr>
          <w:rFonts w:eastAsia="楷体_GB2312"/>
          <w:sz w:val="24"/>
        </w:rPr>
        <w:t>(k)</w:t>
      </w:r>
      <w:r>
        <w:rPr>
          <w:rFonts w:hint="eastAsia" w:ascii="楷体_GB2312" w:eastAsia="楷体_GB2312" w:cs="楷体_GB2312"/>
          <w:kern w:val="0"/>
          <w:sz w:val="24"/>
        </w:rPr>
        <w:t>项所列的任何一起需经宣布生效的</w:t>
      </w:r>
      <w:r>
        <w:rPr>
          <w:rFonts w:eastAsia="楷体_GB2312"/>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时，</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应通知所有的</w:t>
      </w:r>
      <w:r>
        <w:rPr>
          <w:rFonts w:eastAsia="楷体_GB2312"/>
          <w:kern w:val="0"/>
          <w:sz w:val="24"/>
        </w:rPr>
        <w:t>“</w:t>
      </w:r>
      <w:r>
        <w:rPr>
          <w:rFonts w:hint="eastAsia" w:ascii="楷体_GB2312" w:eastAsia="楷体_GB2312" w:cs="楷体_GB2312"/>
          <w:kern w:val="0"/>
          <w:sz w:val="24"/>
        </w:rPr>
        <w:t>资产支持商业票据持有人</w:t>
      </w:r>
      <w:r>
        <w:rPr>
          <w:rFonts w:eastAsia="楷体_GB2312"/>
          <w:kern w:val="0"/>
          <w:sz w:val="24"/>
        </w:rPr>
        <w:t>”</w:t>
      </w:r>
      <w:r>
        <w:rPr>
          <w:rFonts w:hint="eastAsia" w:ascii="楷体_GB2312" w:eastAsia="楷体_GB2312" w:cs="楷体_GB2312"/>
          <w:kern w:val="0"/>
          <w:sz w:val="24"/>
        </w:rPr>
        <w:t>。</w:t>
      </w:r>
      <w:r>
        <w:rPr>
          <w:rFonts w:eastAsia="楷体_GB2312"/>
          <w:sz w:val="24"/>
        </w:rPr>
        <w:t>“</w:t>
      </w:r>
      <w:r>
        <w:rPr>
          <w:rFonts w:hint="eastAsia" w:ascii="楷体_GB2312" w:eastAsia="楷体_GB2312" w:cs="楷体_GB2312"/>
          <w:kern w:val="0"/>
          <w:sz w:val="24"/>
        </w:rPr>
        <w:t>资产支持商业票据</w:t>
      </w:r>
      <w:r>
        <w:rPr>
          <w:rFonts w:hint="eastAsia" w:ascii="楷体_GB2312" w:eastAsia="楷体_GB2312" w:cs="楷体_GB2312"/>
          <w:sz w:val="24"/>
        </w:rPr>
        <w:t>持有人会议</w:t>
      </w:r>
      <w:r>
        <w:rPr>
          <w:rFonts w:eastAsia="楷体_GB2312"/>
          <w:sz w:val="24"/>
        </w:rPr>
        <w:t>”</w:t>
      </w:r>
      <w:r>
        <w:rPr>
          <w:rFonts w:hint="eastAsia" w:ascii="楷体_GB2312" w:eastAsia="楷体_GB2312" w:cs="楷体_GB2312"/>
          <w:sz w:val="24"/>
        </w:rPr>
        <w:t>决议</w:t>
      </w:r>
      <w:r>
        <w:rPr>
          <w:rFonts w:hint="eastAsia" w:ascii="楷体_GB2312" w:eastAsia="楷体_GB2312" w:cs="楷体_GB2312"/>
          <w:kern w:val="0"/>
          <w:sz w:val="24"/>
        </w:rPr>
        <w:t>宣布发生</w:t>
      </w:r>
      <w:r>
        <w:rPr>
          <w:rFonts w:eastAsia="楷体_GB2312"/>
          <w:kern w:val="0"/>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sz w:val="24"/>
        </w:rPr>
        <w:t>的，</w:t>
      </w:r>
      <w:r>
        <w:rPr>
          <w:rFonts w:eastAsia="楷体_GB2312"/>
          <w:kern w:val="0"/>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视为于决议作出之日发生，</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kern w:val="0"/>
          <w:sz w:val="24"/>
        </w:rPr>
        <w:t>应向</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登记托管机构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支付代理机构</w:t>
      </w:r>
      <w:r>
        <w:rPr>
          <w:rFonts w:eastAsia="楷体_GB2312"/>
          <w:kern w:val="0"/>
          <w:sz w:val="24"/>
        </w:rPr>
        <w:t>”</w:t>
      </w:r>
      <w:r>
        <w:rPr>
          <w:rFonts w:hint="eastAsia" w:ascii="楷体_GB2312" w:eastAsia="楷体_GB2312" w:cs="楷体_GB2312"/>
          <w:kern w:val="0"/>
          <w:sz w:val="24"/>
        </w:rPr>
        <w:t>和</w:t>
      </w:r>
      <w:r>
        <w:rPr>
          <w:rFonts w:eastAsia="楷体_GB2312"/>
          <w:kern w:val="0"/>
          <w:sz w:val="24"/>
        </w:rPr>
        <w:t>“</w:t>
      </w:r>
      <w:r>
        <w:rPr>
          <w:rFonts w:hint="eastAsia" w:ascii="楷体_GB2312" w:eastAsia="楷体_GB2312" w:cs="楷体_GB2312"/>
          <w:kern w:val="0"/>
          <w:sz w:val="24"/>
        </w:rPr>
        <w:t>评级机构</w:t>
      </w:r>
      <w:r>
        <w:rPr>
          <w:rFonts w:eastAsia="楷体_GB2312"/>
          <w:kern w:val="0"/>
          <w:sz w:val="24"/>
        </w:rPr>
        <w:t>”</w:t>
      </w:r>
      <w:r>
        <w:rPr>
          <w:rFonts w:hint="eastAsia" w:ascii="楷体_GB2312" w:eastAsia="楷体_GB2312" w:cs="楷体_GB2312"/>
          <w:kern w:val="0"/>
          <w:sz w:val="24"/>
        </w:rPr>
        <w:t>发送书面通知，宣布</w:t>
      </w:r>
      <w:r>
        <w:rPr>
          <w:rFonts w:eastAsia="楷体_GB2312"/>
          <w:kern w:val="0"/>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已经发生。</w:t>
      </w:r>
    </w:p>
    <w:p>
      <w:pPr>
        <w:adjustRightInd w:val="0"/>
        <w:spacing w:beforeLines="50" w:afterLines="50" w:line="240" w:lineRule="atLeast"/>
        <w:ind w:left="851"/>
        <w:textAlignment w:val="baseline"/>
        <w:rPr>
          <w:rFonts w:eastAsia="楷体_GB2312"/>
          <w:kern w:val="0"/>
          <w:sz w:val="24"/>
        </w:rPr>
      </w:pPr>
      <w:r>
        <w:rPr>
          <w:rFonts w:hint="eastAsia" w:ascii="楷体_GB2312" w:eastAsia="楷体_GB2312" w:cs="楷体_GB2312"/>
          <w:kern w:val="0"/>
          <w:sz w:val="24"/>
        </w:rPr>
        <w:t>发生上述</w:t>
      </w:r>
      <w:r>
        <w:rPr>
          <w:rFonts w:eastAsia="楷体_GB2312"/>
          <w:sz w:val="24"/>
        </w:rPr>
        <w:t>(g)</w:t>
      </w:r>
      <w:r>
        <w:rPr>
          <w:rFonts w:hint="eastAsia" w:ascii="楷体_GB2312" w:eastAsia="楷体_GB2312" w:cs="楷体_GB2312"/>
          <w:kern w:val="0"/>
          <w:sz w:val="24"/>
        </w:rPr>
        <w:t>项中规定的</w:t>
      </w:r>
      <w:r>
        <w:rPr>
          <w:rFonts w:eastAsia="楷体_GB2312"/>
          <w:kern w:val="0"/>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后，如</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宣布发生</w:t>
      </w:r>
      <w:r>
        <w:rPr>
          <w:rFonts w:eastAsia="楷体_GB2312"/>
          <w:kern w:val="0"/>
          <w:sz w:val="24"/>
        </w:rPr>
        <w:t>“</w:t>
      </w:r>
      <w:r>
        <w:rPr>
          <w:rFonts w:hint="eastAsia" w:ascii="楷体_GB2312" w:eastAsia="楷体_GB2312" w:cs="楷体_GB2312"/>
          <w:kern w:val="0"/>
          <w:sz w:val="24"/>
        </w:rPr>
        <w:t>违约事件</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受托机构</w:t>
      </w:r>
      <w:r>
        <w:rPr>
          <w:rFonts w:eastAsia="楷体_GB2312"/>
          <w:kern w:val="0"/>
          <w:sz w:val="24"/>
        </w:rPr>
        <w:t>”</w:t>
      </w:r>
      <w:r>
        <w:rPr>
          <w:rFonts w:hint="eastAsia" w:ascii="楷体_GB2312" w:eastAsia="楷体_GB2312" w:cs="楷体_GB2312"/>
          <w:kern w:val="0"/>
          <w:sz w:val="24"/>
        </w:rPr>
        <w:t>则应按照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9.3.2</w:t>
      </w:r>
      <w:r>
        <w:rPr>
          <w:rFonts w:hint="eastAsia" w:ascii="楷体_GB2312" w:eastAsia="楷体_GB2312" w:cs="楷体_GB2312"/>
          <w:kern w:val="0"/>
          <w:sz w:val="24"/>
        </w:rPr>
        <w:t>】款约定的分配顺序进行分配。</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bCs/>
          <w:i/>
          <w:color w:val="FF0000"/>
          <w:sz w:val="24"/>
          <w:u w:val="single"/>
        </w:rPr>
        <w:t>加速清偿事件的内容</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违约事件：</w:t>
      </w:r>
      <w:r>
        <w:rPr>
          <w:rFonts w:hint="eastAsia" w:ascii="楷体_GB2312" w:eastAsia="楷体_GB2312" w:cs="楷体_GB2312"/>
          <w:sz w:val="24"/>
        </w:rPr>
        <w:t>系指以下任一事件：</w:t>
      </w:r>
    </w:p>
    <w:p>
      <w:pPr>
        <w:numPr>
          <w:ilvl w:val="0"/>
          <w:numId w:val="11"/>
        </w:numPr>
        <w:spacing w:beforeLines="50" w:afterLines="50" w:line="240" w:lineRule="atLeast"/>
        <w:rPr>
          <w:rFonts w:eastAsia="楷体_GB2312"/>
          <w:kern w:val="0"/>
          <w:sz w:val="24"/>
        </w:rPr>
      </w:pPr>
      <w:r>
        <w:rPr>
          <w:rFonts w:hint="eastAsia" w:ascii="楷体_GB2312" w:eastAsia="楷体_GB2312" w:cs="楷体_GB2312"/>
          <w:kern w:val="0"/>
          <w:sz w:val="24"/>
        </w:rPr>
        <w:t>就某一期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而言，</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未能在任一</w:t>
      </w:r>
      <w:r>
        <w:rPr>
          <w:rFonts w:eastAsia="楷体_GB2312"/>
          <w:kern w:val="0"/>
          <w:sz w:val="24"/>
        </w:rPr>
        <w:t>“</w:t>
      </w:r>
      <w:r>
        <w:rPr>
          <w:rFonts w:hint="eastAsia" w:ascii="楷体_GB2312" w:eastAsia="楷体_GB2312" w:cs="楷体_GB2312"/>
          <w:kern w:val="0"/>
          <w:sz w:val="24"/>
        </w:rPr>
        <w:t>支付日</w:t>
      </w:r>
      <w:r>
        <w:rPr>
          <w:rFonts w:eastAsia="楷体_GB2312"/>
          <w:kern w:val="0"/>
          <w:sz w:val="24"/>
        </w:rPr>
        <w:t>”</w:t>
      </w:r>
      <w:r>
        <w:rPr>
          <w:rFonts w:hint="eastAsia" w:ascii="楷体_GB2312" w:eastAsia="楷体_GB2312" w:cs="楷体_GB2312"/>
          <w:kern w:val="0"/>
          <w:sz w:val="24"/>
        </w:rPr>
        <w:t>（或在</w:t>
      </w:r>
      <w:bookmarkStart w:id="36" w:name="_Ref504412788"/>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允许的宽限期内）足额支付</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应付未付利息的；</w:t>
      </w:r>
      <w:bookmarkEnd w:id="36"/>
    </w:p>
    <w:p>
      <w:pPr>
        <w:numPr>
          <w:ilvl w:val="0"/>
          <w:numId w:val="11"/>
        </w:numPr>
        <w:spacing w:beforeLines="50" w:afterLines="50" w:line="240" w:lineRule="atLeast"/>
        <w:rPr>
          <w:rFonts w:eastAsia="楷体_GB2312"/>
          <w:kern w:val="0"/>
          <w:sz w:val="24"/>
        </w:rPr>
      </w:pPr>
      <w:r>
        <w:rPr>
          <w:rFonts w:hint="eastAsia" w:ascii="楷体_GB2312" w:eastAsia="楷体_GB2312" w:cs="楷体_GB2312"/>
          <w:kern w:val="0"/>
          <w:sz w:val="24"/>
        </w:rPr>
        <w:t>就某一期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而言，</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未能在对应的</w:t>
      </w:r>
      <w:r>
        <w:rPr>
          <w:rFonts w:eastAsia="楷体_GB2312"/>
          <w:kern w:val="0"/>
          <w:sz w:val="24"/>
        </w:rPr>
        <w:t>“</w:t>
      </w:r>
      <w:r>
        <w:rPr>
          <w:rFonts w:hint="eastAsia" w:ascii="楷体_GB2312" w:eastAsia="楷体_GB2312" w:cs="楷体_GB2312"/>
          <w:kern w:val="0"/>
          <w:sz w:val="24"/>
        </w:rPr>
        <w:t>到期日</w:t>
      </w:r>
      <w:r>
        <w:rPr>
          <w:rFonts w:eastAsia="楷体_GB2312"/>
          <w:kern w:val="0"/>
          <w:sz w:val="24"/>
        </w:rPr>
        <w:t>”</w:t>
      </w:r>
      <w:r>
        <w:rPr>
          <w:rFonts w:hint="eastAsia" w:eastAsia="楷体_GB2312"/>
          <w:kern w:val="0"/>
          <w:sz w:val="24"/>
        </w:rPr>
        <w:t>或</w:t>
      </w:r>
      <w:r>
        <w:rPr>
          <w:rFonts w:eastAsia="楷体_GB2312"/>
          <w:kern w:val="0"/>
          <w:sz w:val="24"/>
        </w:rPr>
        <w:t>“预期到期日”</w:t>
      </w:r>
      <w:r>
        <w:rPr>
          <w:rFonts w:hint="eastAsia" w:ascii="楷体_GB2312" w:eastAsia="楷体_GB2312" w:cs="楷体_GB2312"/>
          <w:kern w:val="0"/>
          <w:sz w:val="24"/>
        </w:rPr>
        <w:t>（或在</w:t>
      </w:r>
      <w:bookmarkStart w:id="37" w:name="_Ref504412633"/>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允许的宽限期内）足额支付</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应付未付本金的；</w:t>
      </w:r>
      <w:bookmarkEnd w:id="37"/>
    </w:p>
    <w:p>
      <w:pPr>
        <w:numPr>
          <w:ilvl w:val="0"/>
          <w:numId w:val="11"/>
        </w:numPr>
        <w:spacing w:beforeLines="50" w:afterLines="50" w:line="240" w:lineRule="atLeast"/>
        <w:rPr>
          <w:rFonts w:eastAsia="楷体_GB2312"/>
          <w:kern w:val="0"/>
          <w:sz w:val="24"/>
        </w:rPr>
      </w:pPr>
      <w:r>
        <w:rPr>
          <w:rFonts w:eastAsia="楷体_GB2312"/>
          <w:kern w:val="0"/>
          <w:sz w:val="24"/>
        </w:rPr>
        <w:t>“《信托合同》</w:t>
      </w:r>
      <w:r>
        <w:rPr>
          <w:rFonts w:eastAsia="楷体_GB2312"/>
          <w:bCs/>
          <w:sz w:val="24"/>
        </w:rPr>
        <w:t>”、“《服务合同》”、“《资金保管合同》</w:t>
      </w:r>
      <w:r>
        <w:rPr>
          <w:rFonts w:eastAsia="楷体_GB2312"/>
          <w:sz w:val="24"/>
        </w:rPr>
        <w:t>”</w:t>
      </w:r>
      <w:r>
        <w:rPr>
          <w:rFonts w:eastAsia="楷体_GB2312"/>
          <w:kern w:val="0"/>
          <w:sz w:val="24"/>
        </w:rPr>
        <w:t>的相关方（包括但不限于“委托人”、“受托人”、“资产服务机构”、“资金保管机构”）的主要相关义务未能履行或实现，导致对“资产支持商业票据持有人”权益产生“重大不利影响”，该“重大不利影响”情形在出现后【】日内未能得到补正或改善。</w:t>
      </w:r>
    </w:p>
    <w:p>
      <w:pPr>
        <w:adjustRightInd w:val="0"/>
        <w:spacing w:beforeLines="50" w:afterLines="50" w:line="240" w:lineRule="atLeast"/>
        <w:ind w:left="851"/>
        <w:textAlignment w:val="baseline"/>
        <w:rPr>
          <w:rFonts w:eastAsia="楷体_GB2312"/>
          <w:sz w:val="24"/>
        </w:rPr>
      </w:pPr>
      <w:r>
        <w:rPr>
          <w:rFonts w:hint="eastAsia" w:ascii="楷体_GB2312" w:eastAsia="楷体_GB2312" w:cs="楷体_GB2312"/>
          <w:sz w:val="24"/>
        </w:rPr>
        <w:t>以上</w:t>
      </w:r>
      <w:r>
        <w:rPr>
          <w:rFonts w:eastAsia="楷体_GB2312"/>
          <w:sz w:val="24"/>
        </w:rPr>
        <w:t>(a)</w:t>
      </w:r>
      <w:r>
        <w:rPr>
          <w:rFonts w:hint="eastAsia" w:ascii="楷体_GB2312" w:eastAsia="楷体_GB2312" w:cs="楷体_GB2312"/>
          <w:sz w:val="24"/>
        </w:rPr>
        <w:t>至</w:t>
      </w:r>
      <w:r>
        <w:rPr>
          <w:rFonts w:eastAsia="楷体_GB2312"/>
          <w:sz w:val="24"/>
        </w:rPr>
        <w:t>(b)</w:t>
      </w:r>
      <w:r>
        <w:rPr>
          <w:rFonts w:hint="eastAsia" w:ascii="楷体_GB2312" w:eastAsia="楷体_GB2312" w:cs="楷体_GB2312"/>
          <w:sz w:val="24"/>
        </w:rPr>
        <w:t>项所列的任一事件发生时，</w:t>
      </w:r>
      <w:r>
        <w:rPr>
          <w:rFonts w:eastAsia="楷体_GB2312"/>
          <w:sz w:val="24"/>
        </w:rPr>
        <w:t>“</w:t>
      </w:r>
      <w:r>
        <w:rPr>
          <w:rFonts w:hint="eastAsia" w:ascii="楷体_GB2312" w:eastAsia="楷体_GB2312" w:cs="楷体_GB2312"/>
          <w:sz w:val="24"/>
        </w:rPr>
        <w:t>违约事件</w:t>
      </w:r>
      <w:r>
        <w:rPr>
          <w:rFonts w:eastAsia="楷体_GB2312"/>
          <w:sz w:val="24"/>
        </w:rPr>
        <w:t>”</w:t>
      </w:r>
      <w:r>
        <w:rPr>
          <w:rFonts w:hint="eastAsia" w:ascii="楷体_GB2312" w:eastAsia="楷体_GB2312" w:cs="楷体_GB2312"/>
          <w:sz w:val="24"/>
        </w:rPr>
        <w:t>视为已在该事件发生之日发生。发生以上</w:t>
      </w:r>
      <w:r>
        <w:rPr>
          <w:rFonts w:eastAsia="楷体_GB2312"/>
          <w:sz w:val="24"/>
        </w:rPr>
        <w:t>(c)</w:t>
      </w:r>
      <w:bookmarkStart w:id="109" w:name="_GoBack"/>
      <w:bookmarkEnd w:id="109"/>
      <w:r>
        <w:rPr>
          <w:rFonts w:hint="eastAsia" w:ascii="楷体_GB2312" w:eastAsia="楷体_GB2312" w:cs="楷体_GB2312"/>
          <w:sz w:val="24"/>
        </w:rPr>
        <w:t>项所列的任何一起事件时，</w:t>
      </w:r>
      <w:r>
        <w:rPr>
          <w:rFonts w:eastAsia="楷体_GB2312"/>
          <w:sz w:val="24"/>
        </w:rPr>
        <w:t>“</w:t>
      </w:r>
      <w:r>
        <w:rPr>
          <w:rFonts w:hint="eastAsia" w:ascii="楷体_GB2312" w:eastAsia="楷体_GB2312" w:cs="楷体_GB2312"/>
          <w:kern w:val="0"/>
          <w:sz w:val="24"/>
        </w:rPr>
        <w:t>资产支持商业票据</w:t>
      </w:r>
      <w:r>
        <w:rPr>
          <w:rFonts w:hint="eastAsia" w:ascii="楷体_GB2312" w:eastAsia="楷体_GB2312" w:cs="楷体_GB2312"/>
          <w:sz w:val="24"/>
        </w:rPr>
        <w:t>持有人会议</w:t>
      </w:r>
      <w:r>
        <w:rPr>
          <w:rFonts w:eastAsia="楷体_GB2312"/>
          <w:sz w:val="24"/>
        </w:rPr>
        <w:t>”</w:t>
      </w:r>
      <w:r>
        <w:rPr>
          <w:rFonts w:hint="eastAsia" w:ascii="楷体_GB2312" w:eastAsia="楷体_GB2312" w:cs="楷体_GB2312"/>
          <w:sz w:val="24"/>
        </w:rPr>
        <w:t>应</w:t>
      </w:r>
      <w:r>
        <w:rPr>
          <w:rFonts w:hint="eastAsia" w:ascii="楷体_GB2312" w:eastAsia="楷体_GB2312" w:cs="楷体_GB2312"/>
          <w:kern w:val="0"/>
          <w:sz w:val="24"/>
        </w:rPr>
        <w:t>决定</w:t>
      </w:r>
      <w:r>
        <w:rPr>
          <w:rFonts w:hint="eastAsia" w:ascii="楷体_GB2312" w:eastAsia="楷体_GB2312" w:cs="楷体_GB2312"/>
          <w:sz w:val="24"/>
        </w:rPr>
        <w:t>是否宣布发生</w:t>
      </w:r>
      <w:r>
        <w:rPr>
          <w:rFonts w:eastAsia="楷体_GB2312"/>
          <w:sz w:val="24"/>
        </w:rPr>
        <w:t>“</w:t>
      </w:r>
      <w:r>
        <w:rPr>
          <w:rFonts w:hint="eastAsia" w:ascii="楷体_GB2312" w:eastAsia="楷体_GB2312" w:cs="楷体_GB2312"/>
          <w:sz w:val="24"/>
        </w:rPr>
        <w:t>违约事件</w:t>
      </w:r>
      <w:r>
        <w:rPr>
          <w:rFonts w:eastAsia="楷体_GB2312"/>
          <w:sz w:val="24"/>
        </w:rPr>
        <w:t>”</w:t>
      </w:r>
      <w:r>
        <w:rPr>
          <w:rFonts w:hint="eastAsia" w:ascii="楷体_GB2312" w:eastAsia="楷体_GB2312" w:cs="楷体_GB2312"/>
          <w:sz w:val="24"/>
        </w:rPr>
        <w:t>，并通知</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以书面通知的方式告知</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登记托管机构</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支付代理机构</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评级机构</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违约事件</w:t>
      </w:r>
      <w:r>
        <w:rPr>
          <w:rFonts w:hint="eastAsia" w:ascii="楷体_GB2312" w:eastAsia="楷体_GB2312" w:cs="楷体_GB2312"/>
          <w:b/>
          <w:bCs/>
          <w:i/>
          <w:color w:val="FF0000"/>
          <w:sz w:val="24"/>
          <w:u w:val="single"/>
        </w:rPr>
        <w:t>的内容</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【差额支付启动事件】：</w:t>
      </w:r>
      <w:r>
        <w:rPr>
          <w:rFonts w:hint="eastAsia" w:ascii="楷体_GB2312" w:eastAsia="楷体_GB2312" w:cs="楷体_GB2312"/>
          <w:bCs/>
          <w:sz w:val="24"/>
        </w:rPr>
        <w:t>包括</w:t>
      </w:r>
      <w:r>
        <w:rPr>
          <w:rFonts w:eastAsia="楷体_GB2312"/>
          <w:bCs/>
          <w:sz w:val="24"/>
        </w:rPr>
        <w:t>“</w:t>
      </w:r>
      <w:r>
        <w:rPr>
          <w:rFonts w:hint="eastAsia" w:ascii="楷体_GB2312" w:eastAsia="楷体_GB2312" w:cs="楷体_GB2312"/>
          <w:bCs/>
          <w:sz w:val="24"/>
        </w:rPr>
        <w:t>【回收款差额支付启动事件】</w:t>
      </w:r>
      <w:r>
        <w:rPr>
          <w:rFonts w:eastAsia="楷体_GB2312"/>
          <w:bCs/>
          <w:sz w:val="24"/>
        </w:rPr>
        <w:t>”</w:t>
      </w:r>
      <w:r>
        <w:rPr>
          <w:rFonts w:hint="eastAsia" w:ascii="楷体_GB2312" w:eastAsia="楷体_GB2312" w:cs="楷体_GB2312"/>
          <w:bCs/>
          <w:sz w:val="24"/>
        </w:rPr>
        <w:t>和</w:t>
      </w:r>
      <w:r>
        <w:rPr>
          <w:rFonts w:eastAsia="楷体_GB2312"/>
          <w:bCs/>
          <w:sz w:val="24"/>
        </w:rPr>
        <w:t>“</w:t>
      </w:r>
      <w:r>
        <w:rPr>
          <w:rFonts w:hint="eastAsia" w:ascii="楷体_GB2312" w:eastAsia="楷体_GB2312" w:cs="楷体_GB2312"/>
          <w:bCs/>
          <w:sz w:val="24"/>
        </w:rPr>
        <w:t>【滚动发行差额支付启动事件】</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【回收款差额支付启动事件】：</w:t>
      </w:r>
      <w:r>
        <w:rPr>
          <w:rFonts w:hint="eastAsia" w:ascii="楷体_GB2312" w:eastAsia="楷体_GB2312" w:cs="楷体_GB2312"/>
          <w:sz w:val="24"/>
        </w:rPr>
        <w:t>系指</w:t>
      </w:r>
      <w:r>
        <w:rPr>
          <w:rFonts w:hint="eastAsia" w:ascii="楷体_GB2312" w:eastAsia="楷体_GB2312" w:cs="楷体_GB2312"/>
          <w:kern w:val="0"/>
          <w:sz w:val="24"/>
        </w:rPr>
        <w:t>以下任一事件：</w:t>
      </w:r>
    </w:p>
    <w:p>
      <w:pPr>
        <w:numPr>
          <w:ilvl w:val="0"/>
          <w:numId w:val="12"/>
        </w:numPr>
        <w:spacing w:beforeLines="50" w:afterLines="50" w:line="240" w:lineRule="atLeast"/>
        <w:rPr>
          <w:rFonts w:eastAsia="楷体_GB2312"/>
          <w:kern w:val="0"/>
          <w:sz w:val="24"/>
        </w:rPr>
      </w:pP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以外任何一期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而言，系指截至该期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对应的任何一个</w:t>
      </w:r>
      <w:r>
        <w:rPr>
          <w:rFonts w:eastAsia="楷体_GB2312"/>
          <w:kern w:val="0"/>
          <w:sz w:val="24"/>
        </w:rPr>
        <w:t>“</w:t>
      </w:r>
      <w:r>
        <w:rPr>
          <w:rFonts w:hint="eastAsia" w:ascii="楷体_GB2312" w:eastAsia="楷体_GB2312" w:cs="楷体_GB2312"/>
          <w:kern w:val="0"/>
          <w:sz w:val="24"/>
        </w:rPr>
        <w:t>信托核算日</w:t>
      </w:r>
      <w:r>
        <w:rPr>
          <w:rFonts w:eastAsia="楷体_GB2312"/>
          <w:kern w:val="0"/>
          <w:sz w:val="24"/>
        </w:rPr>
        <w:t>”</w:t>
      </w:r>
      <w:r>
        <w:rPr>
          <w:rFonts w:hint="eastAsia" w:ascii="楷体_GB2312" w:eastAsia="楷体_GB2312" w:cs="楷体_GB2312"/>
          <w:kern w:val="0"/>
          <w:sz w:val="24"/>
        </w:rPr>
        <w:t>【】点，</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内可供分配的资金按照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约定的分配顺序不足以支付在该</w:t>
      </w:r>
      <w:r>
        <w:rPr>
          <w:rFonts w:eastAsia="楷体_GB2312"/>
          <w:kern w:val="0"/>
          <w:sz w:val="24"/>
        </w:rPr>
        <w:t>“</w:t>
      </w:r>
      <w:r>
        <w:rPr>
          <w:rFonts w:hint="eastAsia" w:ascii="楷体_GB2312" w:eastAsia="楷体_GB2312" w:cs="楷体_GB2312"/>
          <w:kern w:val="0"/>
          <w:sz w:val="24"/>
        </w:rPr>
        <w:t>信托核算日</w:t>
      </w:r>
      <w:r>
        <w:rPr>
          <w:rFonts w:eastAsia="楷体_GB2312"/>
          <w:kern w:val="0"/>
          <w:sz w:val="24"/>
        </w:rPr>
        <w:t>”</w:t>
      </w:r>
      <w:r>
        <w:rPr>
          <w:rFonts w:hint="eastAsia" w:ascii="楷体_GB2312" w:eastAsia="楷体_GB2312" w:cs="楷体_GB2312"/>
          <w:kern w:val="0"/>
          <w:sz w:val="24"/>
        </w:rPr>
        <w:t>紧邻后一个</w:t>
      </w:r>
      <w:r>
        <w:rPr>
          <w:rFonts w:eastAsia="楷体_GB2312"/>
          <w:kern w:val="0"/>
          <w:sz w:val="24"/>
        </w:rPr>
        <w:t>“</w:t>
      </w:r>
      <w:r>
        <w:rPr>
          <w:rFonts w:hint="eastAsia" w:ascii="楷体_GB2312" w:eastAsia="楷体_GB2312" w:cs="楷体_GB2312"/>
          <w:kern w:val="0"/>
          <w:sz w:val="24"/>
        </w:rPr>
        <w:t>支付日</w:t>
      </w:r>
      <w:r>
        <w:rPr>
          <w:rFonts w:eastAsia="楷体_GB2312"/>
          <w:kern w:val="0"/>
          <w:sz w:val="24"/>
        </w:rPr>
        <w:t>”</w:t>
      </w:r>
      <w:r>
        <w:rPr>
          <w:rFonts w:hint="eastAsia" w:ascii="楷体_GB2312" w:eastAsia="楷体_GB2312" w:cs="楷体_GB2312"/>
          <w:kern w:val="0"/>
          <w:sz w:val="24"/>
        </w:rPr>
        <w:t>应由</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承担的全部税费、报酬和该期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的应付利息的；</w:t>
      </w:r>
    </w:p>
    <w:p>
      <w:pPr>
        <w:numPr>
          <w:ilvl w:val="0"/>
          <w:numId w:val="12"/>
        </w:numPr>
        <w:spacing w:beforeLines="50" w:afterLines="50" w:line="240" w:lineRule="atLeast"/>
        <w:rPr>
          <w:rFonts w:eastAsia="楷体_GB2312"/>
          <w:kern w:val="0"/>
          <w:sz w:val="24"/>
        </w:rPr>
      </w:pP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最后一期优先级资产支持商业票据</w:t>
      </w:r>
      <w:r>
        <w:rPr>
          <w:rFonts w:eastAsia="楷体_GB2312"/>
          <w:kern w:val="0"/>
          <w:sz w:val="24"/>
        </w:rPr>
        <w:t>”</w:t>
      </w:r>
      <w:r>
        <w:rPr>
          <w:rFonts w:hint="eastAsia" w:ascii="楷体_GB2312" w:eastAsia="楷体_GB2312" w:cs="楷体_GB2312"/>
          <w:kern w:val="0"/>
          <w:sz w:val="24"/>
        </w:rPr>
        <w:t>而言，系指以下任一情形：</w:t>
      </w:r>
      <w:r>
        <w:rPr>
          <w:rFonts w:eastAsia="楷体_GB2312"/>
          <w:kern w:val="0"/>
          <w:sz w:val="24"/>
        </w:rPr>
        <w:t>(1)</w:t>
      </w:r>
      <w:r>
        <w:rPr>
          <w:rFonts w:hint="eastAsia" w:ascii="楷体_GB2312" w:eastAsia="楷体_GB2312" w:cs="楷体_GB2312"/>
          <w:kern w:val="0"/>
          <w:sz w:val="24"/>
        </w:rPr>
        <w:t>截至该期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对应的任何一个</w:t>
      </w:r>
      <w:r>
        <w:rPr>
          <w:rFonts w:eastAsia="楷体_GB2312"/>
          <w:kern w:val="0"/>
          <w:sz w:val="24"/>
        </w:rPr>
        <w:t>“</w:t>
      </w:r>
      <w:r>
        <w:rPr>
          <w:rFonts w:hint="eastAsia" w:ascii="楷体_GB2312" w:eastAsia="楷体_GB2312" w:cs="楷体_GB2312"/>
          <w:kern w:val="0"/>
          <w:sz w:val="24"/>
        </w:rPr>
        <w:t>信托核算日</w:t>
      </w:r>
      <w:r>
        <w:rPr>
          <w:rFonts w:eastAsia="楷体_GB2312"/>
          <w:kern w:val="0"/>
          <w:sz w:val="24"/>
        </w:rPr>
        <w:t>”</w:t>
      </w:r>
      <w:r>
        <w:rPr>
          <w:rFonts w:hint="eastAsia" w:ascii="楷体_GB2312" w:eastAsia="楷体_GB2312" w:cs="楷体_GB2312"/>
          <w:kern w:val="0"/>
          <w:sz w:val="24"/>
        </w:rPr>
        <w:t>【】点，</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内可供分配的资金按照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约定的分配顺序不足以支付该</w:t>
      </w:r>
      <w:r>
        <w:rPr>
          <w:rFonts w:eastAsia="楷体_GB2312"/>
          <w:kern w:val="0"/>
          <w:sz w:val="24"/>
        </w:rPr>
        <w:t>“</w:t>
      </w:r>
      <w:r>
        <w:rPr>
          <w:rFonts w:hint="eastAsia" w:ascii="楷体_GB2312" w:eastAsia="楷体_GB2312" w:cs="楷体_GB2312"/>
          <w:kern w:val="0"/>
          <w:sz w:val="24"/>
        </w:rPr>
        <w:t>信托核算日</w:t>
      </w:r>
      <w:r>
        <w:rPr>
          <w:rFonts w:eastAsia="楷体_GB2312"/>
          <w:kern w:val="0"/>
          <w:sz w:val="24"/>
        </w:rPr>
        <w:t>”</w:t>
      </w:r>
      <w:r>
        <w:rPr>
          <w:rFonts w:hint="eastAsia" w:ascii="楷体_GB2312" w:eastAsia="楷体_GB2312" w:cs="楷体_GB2312"/>
          <w:kern w:val="0"/>
          <w:sz w:val="24"/>
        </w:rPr>
        <w:t>紧邻后一个</w:t>
      </w:r>
      <w:r>
        <w:rPr>
          <w:rFonts w:eastAsia="楷体_GB2312"/>
          <w:kern w:val="0"/>
          <w:sz w:val="24"/>
        </w:rPr>
        <w:t>“</w:t>
      </w:r>
      <w:r>
        <w:rPr>
          <w:rFonts w:hint="eastAsia" w:ascii="楷体_GB2312" w:eastAsia="楷体_GB2312" w:cs="楷体_GB2312"/>
          <w:kern w:val="0"/>
          <w:sz w:val="24"/>
        </w:rPr>
        <w:t>支付日</w:t>
      </w:r>
      <w:r>
        <w:rPr>
          <w:rFonts w:eastAsia="楷体_GB2312"/>
          <w:kern w:val="0"/>
          <w:sz w:val="24"/>
        </w:rPr>
        <w:t>”</w:t>
      </w:r>
      <w:r>
        <w:rPr>
          <w:rFonts w:hint="eastAsia" w:ascii="楷体_GB2312" w:eastAsia="楷体_GB2312" w:cs="楷体_GB2312"/>
          <w:kern w:val="0"/>
          <w:sz w:val="24"/>
        </w:rPr>
        <w:t>应由</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承担的全部税费、报酬和该期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的应付利息；</w:t>
      </w:r>
      <w:r>
        <w:rPr>
          <w:rFonts w:eastAsia="楷体_GB2312"/>
          <w:kern w:val="0"/>
          <w:sz w:val="24"/>
        </w:rPr>
        <w:t>(2)</w:t>
      </w:r>
      <w:r>
        <w:rPr>
          <w:rFonts w:hint="eastAsia" w:ascii="楷体_GB2312" w:eastAsia="楷体_GB2312" w:cs="楷体_GB2312"/>
          <w:kern w:val="0"/>
          <w:sz w:val="24"/>
        </w:rPr>
        <w:t>截至该期</w:t>
      </w:r>
      <w:r>
        <w:rPr>
          <w:rFonts w:eastAsia="楷体_GB2312"/>
          <w:kern w:val="0"/>
          <w:sz w:val="24"/>
        </w:rPr>
        <w:t>“</w:t>
      </w:r>
      <w:r>
        <w:rPr>
          <w:rFonts w:hint="eastAsia" w:ascii="楷体_GB2312" w:eastAsia="楷体_GB2312" w:cs="楷体_GB2312"/>
          <w:kern w:val="0"/>
          <w:sz w:val="24"/>
        </w:rPr>
        <w:t>资产支持商业票据</w:t>
      </w:r>
      <w:r>
        <w:rPr>
          <w:rFonts w:eastAsia="楷体_GB2312"/>
          <w:kern w:val="0"/>
          <w:sz w:val="24"/>
        </w:rPr>
        <w:t>”“</w:t>
      </w:r>
      <w:r>
        <w:rPr>
          <w:rFonts w:hint="eastAsia" w:ascii="楷体_GB2312" w:eastAsia="楷体_GB2312" w:cs="楷体_GB2312"/>
          <w:kern w:val="0"/>
          <w:sz w:val="24"/>
        </w:rPr>
        <w:t>预期到期日</w:t>
      </w:r>
      <w:r>
        <w:rPr>
          <w:rFonts w:eastAsia="楷体_GB2312"/>
          <w:kern w:val="0"/>
          <w:sz w:val="24"/>
        </w:rPr>
        <w:t>”</w:t>
      </w:r>
      <w:r>
        <w:rPr>
          <w:rFonts w:hint="eastAsia" w:ascii="楷体_GB2312" w:eastAsia="楷体_GB2312" w:cs="楷体_GB2312"/>
          <w:kern w:val="0"/>
          <w:sz w:val="24"/>
        </w:rPr>
        <w:t>前最后一个</w:t>
      </w:r>
      <w:r>
        <w:rPr>
          <w:rFonts w:eastAsia="楷体_GB2312"/>
          <w:kern w:val="0"/>
          <w:sz w:val="24"/>
        </w:rPr>
        <w:t>“</w:t>
      </w:r>
      <w:r>
        <w:rPr>
          <w:rFonts w:hint="eastAsia" w:ascii="楷体_GB2312" w:eastAsia="楷体_GB2312" w:cs="楷体_GB2312"/>
          <w:kern w:val="0"/>
          <w:sz w:val="24"/>
        </w:rPr>
        <w:t>信托核算日</w:t>
      </w:r>
      <w:r>
        <w:rPr>
          <w:rFonts w:eastAsia="楷体_GB2312"/>
          <w:kern w:val="0"/>
          <w:sz w:val="24"/>
        </w:rPr>
        <w:t>”</w:t>
      </w:r>
      <w:r>
        <w:rPr>
          <w:rFonts w:hint="eastAsia" w:ascii="楷体_GB2312" w:eastAsia="楷体_GB2312" w:cs="楷体_GB2312"/>
          <w:kern w:val="0"/>
          <w:sz w:val="24"/>
        </w:rPr>
        <w:t>【】点，</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内可供分配的资金按照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约定的分配顺序不足以支付在</w:t>
      </w:r>
      <w:r>
        <w:rPr>
          <w:rFonts w:eastAsia="楷体_GB2312"/>
          <w:kern w:val="0"/>
          <w:sz w:val="24"/>
        </w:rPr>
        <w:t>“</w:t>
      </w:r>
      <w:r>
        <w:rPr>
          <w:rFonts w:hint="eastAsia" w:ascii="楷体_GB2312" w:eastAsia="楷体_GB2312" w:cs="楷体_GB2312"/>
          <w:kern w:val="0"/>
          <w:sz w:val="24"/>
        </w:rPr>
        <w:t>预期到期日</w:t>
      </w:r>
      <w:r>
        <w:rPr>
          <w:rFonts w:eastAsia="楷体_GB2312"/>
          <w:kern w:val="0"/>
          <w:sz w:val="24"/>
        </w:rPr>
        <w:t>”</w:t>
      </w:r>
      <w:r>
        <w:rPr>
          <w:rFonts w:hint="eastAsia" w:ascii="楷体_GB2312" w:eastAsia="楷体_GB2312" w:cs="楷体_GB2312"/>
          <w:kern w:val="0"/>
          <w:sz w:val="24"/>
        </w:rPr>
        <w:t>应由</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承担的全部税费、报酬和该期</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的应付利息和</w:t>
      </w:r>
      <w:r>
        <w:rPr>
          <w:rFonts w:eastAsia="楷体_GB2312"/>
          <w:kern w:val="0"/>
          <w:sz w:val="24"/>
        </w:rPr>
        <w:t>/</w:t>
      </w:r>
      <w:r>
        <w:rPr>
          <w:rFonts w:hint="eastAsia" w:ascii="楷体_GB2312" w:eastAsia="楷体_GB2312" w:cs="楷体_GB2312"/>
          <w:kern w:val="0"/>
          <w:sz w:val="24"/>
        </w:rPr>
        <w:t>或本金的；</w:t>
      </w:r>
    </w:p>
    <w:p>
      <w:pPr>
        <w:numPr>
          <w:ilvl w:val="0"/>
          <w:numId w:val="12"/>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发生</w:t>
      </w:r>
      <w:r>
        <w:rPr>
          <w:rFonts w:eastAsia="楷体_GB2312"/>
          <w:kern w:val="0"/>
          <w:sz w:val="24"/>
        </w:rPr>
        <w:t>“</w:t>
      </w:r>
      <w:r>
        <w:rPr>
          <w:rFonts w:hint="eastAsia" w:ascii="楷体_GB2312" w:eastAsia="楷体_GB2312" w:cs="楷体_GB2312"/>
          <w:kern w:val="0"/>
          <w:sz w:val="24"/>
        </w:rPr>
        <w:t>回购</w:t>
      </w:r>
      <w:r>
        <w:rPr>
          <w:rFonts w:eastAsia="楷体_GB2312"/>
          <w:kern w:val="0"/>
          <w:sz w:val="24"/>
        </w:rPr>
        <w:t>”</w:t>
      </w:r>
      <w:r>
        <w:rPr>
          <w:rFonts w:hint="eastAsia" w:ascii="楷体_GB2312" w:eastAsia="楷体_GB2312" w:cs="楷体_GB2312"/>
          <w:kern w:val="0"/>
          <w:sz w:val="24"/>
        </w:rPr>
        <w:t>，但截至对应的</w:t>
      </w:r>
      <w:r>
        <w:rPr>
          <w:rFonts w:eastAsia="楷体_GB2312"/>
          <w:kern w:val="0"/>
          <w:sz w:val="24"/>
        </w:rPr>
        <w:t>“</w:t>
      </w:r>
      <w:r>
        <w:rPr>
          <w:rFonts w:hint="eastAsia" w:ascii="楷体_GB2312" w:eastAsia="楷体_GB2312" w:cs="楷体_GB2312"/>
          <w:kern w:val="0"/>
          <w:sz w:val="24"/>
        </w:rPr>
        <w:t>回购价款支付日</w:t>
      </w:r>
      <w:r>
        <w:rPr>
          <w:rFonts w:eastAsia="楷体_GB2312"/>
          <w:kern w:val="0"/>
          <w:sz w:val="24"/>
        </w:rPr>
        <w:t>”</w:t>
      </w:r>
      <w:r>
        <w:rPr>
          <w:rFonts w:hint="eastAsia" w:ascii="楷体_GB2312" w:eastAsia="楷体_GB2312" w:cs="楷体_GB2312"/>
          <w:kern w:val="0"/>
          <w:sz w:val="24"/>
        </w:rPr>
        <w:t>【】点，</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未能根据</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第【</w:t>
      </w:r>
      <w:r>
        <w:rPr>
          <w:rFonts w:eastAsia="楷体_GB2312"/>
          <w:kern w:val="0"/>
          <w:sz w:val="24"/>
        </w:rPr>
        <w:t>15</w:t>
      </w:r>
      <w:r>
        <w:rPr>
          <w:rFonts w:hint="eastAsia" w:ascii="楷体_GB2312" w:eastAsia="楷体_GB2312" w:cs="楷体_GB2312"/>
          <w:kern w:val="0"/>
          <w:sz w:val="24"/>
        </w:rPr>
        <w:t>】条的约定足额支付相当于该次</w:t>
      </w:r>
      <w:r>
        <w:rPr>
          <w:rFonts w:eastAsia="楷体_GB2312"/>
          <w:kern w:val="0"/>
          <w:sz w:val="24"/>
        </w:rPr>
        <w:t>“</w:t>
      </w:r>
      <w:r>
        <w:rPr>
          <w:rFonts w:hint="eastAsia" w:ascii="楷体_GB2312" w:eastAsia="楷体_GB2312" w:cs="楷体_GB2312"/>
          <w:kern w:val="0"/>
          <w:sz w:val="24"/>
        </w:rPr>
        <w:t>回购价格</w:t>
      </w:r>
      <w:r>
        <w:rPr>
          <w:rFonts w:eastAsia="楷体_GB2312"/>
          <w:kern w:val="0"/>
          <w:sz w:val="24"/>
        </w:rPr>
        <w:t>”</w:t>
      </w:r>
      <w:r>
        <w:rPr>
          <w:rFonts w:hint="eastAsia" w:ascii="楷体_GB2312" w:eastAsia="楷体_GB2312" w:cs="楷体_GB2312"/>
          <w:kern w:val="0"/>
          <w:sz w:val="24"/>
        </w:rPr>
        <w:t>的款项的；</w:t>
      </w:r>
    </w:p>
    <w:p>
      <w:pPr>
        <w:numPr>
          <w:ilvl w:val="0"/>
          <w:numId w:val="12"/>
        </w:numPr>
        <w:spacing w:beforeLines="50" w:afterLines="50" w:line="240" w:lineRule="atLeast"/>
        <w:rPr>
          <w:rFonts w:eastAsia="楷体_GB2312"/>
          <w:kern w:val="0"/>
          <w:sz w:val="24"/>
        </w:rPr>
      </w:pP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信托终止日</w:t>
      </w:r>
      <w:r>
        <w:rPr>
          <w:rFonts w:eastAsia="楷体_GB2312"/>
          <w:kern w:val="0"/>
          <w:sz w:val="24"/>
        </w:rPr>
        <w:t>”</w:t>
      </w:r>
      <w:r>
        <w:rPr>
          <w:rFonts w:hint="eastAsia" w:ascii="楷体_GB2312" w:eastAsia="楷体_GB2312" w:cs="楷体_GB2312"/>
          <w:kern w:val="0"/>
          <w:sz w:val="24"/>
        </w:rPr>
        <w:t>之后，</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根据清算方案确认</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约定的分配顺序不足以支付应由</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承担的全部税费、清算费用、报酬和</w:t>
      </w:r>
      <w:r>
        <w:rPr>
          <w:rFonts w:eastAsia="楷体_GB2312"/>
          <w:kern w:val="0"/>
          <w:sz w:val="24"/>
        </w:rPr>
        <w:t>“</w:t>
      </w:r>
      <w:r>
        <w:rPr>
          <w:rFonts w:hint="eastAsia" w:ascii="楷体_GB2312" w:eastAsia="楷体_GB2312" w:cs="楷体_GB2312"/>
          <w:kern w:val="0"/>
          <w:sz w:val="24"/>
        </w:rPr>
        <w:t>优先级资产支持商业票据</w:t>
      </w:r>
      <w:r>
        <w:rPr>
          <w:rFonts w:eastAsia="楷体_GB2312"/>
          <w:kern w:val="0"/>
          <w:sz w:val="24"/>
        </w:rPr>
        <w:t>”</w:t>
      </w:r>
      <w:r>
        <w:rPr>
          <w:rFonts w:hint="eastAsia" w:ascii="楷体_GB2312" w:eastAsia="楷体_GB2312" w:cs="楷体_GB2312"/>
          <w:kern w:val="0"/>
          <w:sz w:val="24"/>
        </w:rPr>
        <w:t>所有应付利息和</w:t>
      </w:r>
      <w:r>
        <w:rPr>
          <w:rFonts w:eastAsia="楷体_GB2312"/>
          <w:kern w:val="0"/>
          <w:sz w:val="24"/>
        </w:rPr>
        <w:t>/</w:t>
      </w:r>
      <w:r>
        <w:rPr>
          <w:rFonts w:hint="eastAsia" w:ascii="楷体_GB2312" w:eastAsia="楷体_GB2312" w:cs="楷体_GB2312"/>
          <w:kern w:val="0"/>
          <w:sz w:val="24"/>
        </w:rPr>
        <w:t>或本金的。</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sz w:val="24"/>
        </w:rPr>
        <w:t>【滚动发行差额支付启动事件】：</w:t>
      </w:r>
      <w:r>
        <w:rPr>
          <w:rFonts w:hint="eastAsia" w:ascii="楷体_GB2312" w:eastAsia="楷体_GB2312" w:cs="楷体_GB2312"/>
          <w:bCs/>
          <w:sz w:val="24"/>
        </w:rPr>
        <w:t>系指以下任一事件：</w:t>
      </w:r>
    </w:p>
    <w:p>
      <w:pPr>
        <w:numPr>
          <w:ilvl w:val="0"/>
          <w:numId w:val="13"/>
        </w:numPr>
        <w:spacing w:beforeLines="50" w:afterLines="50" w:line="240" w:lineRule="atLeast"/>
        <w:rPr>
          <w:rFonts w:eastAsia="楷体_GB2312"/>
          <w:bCs/>
          <w:sz w:val="24"/>
        </w:rPr>
      </w:pPr>
      <w:r>
        <w:rPr>
          <w:rFonts w:eastAsia="楷体_GB2312"/>
          <w:sz w:val="24"/>
        </w:rPr>
        <w:t>“委托人”选择不“滚动发行”新一期“优先级资产支持商业票据”，但截至对应的“受益权价款支付日”【】点，“委托人”未按照“《信托合同》”第【7.7.2.3】款的约定足额支付“信托受益权转让对价”的；</w:t>
      </w:r>
    </w:p>
    <w:p>
      <w:pPr>
        <w:numPr>
          <w:ilvl w:val="0"/>
          <w:numId w:val="13"/>
        </w:numPr>
        <w:spacing w:beforeLines="50" w:afterLines="50" w:line="240" w:lineRule="atLeast"/>
        <w:rPr>
          <w:rFonts w:eastAsia="楷体_GB2312"/>
          <w:bCs/>
          <w:sz w:val="24"/>
        </w:rPr>
      </w:pPr>
      <w:r>
        <w:rPr>
          <w:rFonts w:eastAsia="楷体_GB2312"/>
          <w:sz w:val="24"/>
        </w:rPr>
        <w:t>新一期“滚动发行”的“优先级资产支持商业票据”未“发行成功”，</w:t>
      </w:r>
      <w:r>
        <w:rPr>
          <w:rFonts w:hint="eastAsia" w:eastAsia="楷体_GB2312"/>
          <w:sz w:val="24"/>
        </w:rPr>
        <w:t>且</w:t>
      </w:r>
      <w:r>
        <w:rPr>
          <w:rFonts w:eastAsia="楷体_GB2312"/>
          <w:sz w:val="24"/>
        </w:rPr>
        <w:t>截至对应的“受益权价款支付日”【】点，“委托人”未按照“《信托合同》”第【7.8.4】款的约定足额支付“信托受益权转让对价”的</w:t>
      </w:r>
      <w:r>
        <w:rPr>
          <w:rFonts w:eastAsia="楷体_GB2312"/>
          <w:bCs/>
          <w:sz w:val="24"/>
        </w:rPr>
        <w:t>。</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差额支付启动事件（包括回收款差额支付和滚动发行差额支付）的命名和内容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循环期提前终止事件：</w:t>
      </w:r>
      <w:r>
        <w:rPr>
          <w:rFonts w:hint="eastAsia" w:ascii="楷体_GB2312" w:eastAsia="楷体_GB2312" w:cs="楷体_GB2312"/>
          <w:sz w:val="24"/>
        </w:rPr>
        <w:t>系指以下任一事件：</w:t>
      </w:r>
    </w:p>
    <w:p>
      <w:pPr>
        <w:numPr>
          <w:ilvl w:val="0"/>
          <w:numId w:val="14"/>
        </w:numPr>
        <w:spacing w:beforeLines="50" w:afterLines="50" w:line="240" w:lineRule="atLeast"/>
        <w:rPr>
          <w:rFonts w:eastAsia="楷体_GB2312"/>
          <w:kern w:val="0"/>
          <w:sz w:val="24"/>
        </w:rPr>
      </w:pPr>
      <w:r>
        <w:rPr>
          <w:rFonts w:hint="eastAsia" w:ascii="楷体_GB2312" w:eastAsia="楷体_GB2312" w:cs="楷体_GB2312"/>
          <w:kern w:val="0"/>
          <w:sz w:val="24"/>
        </w:rPr>
        <w:t>发生</w:t>
      </w:r>
      <w:r>
        <w:rPr>
          <w:rFonts w:eastAsia="楷体_GB2312"/>
          <w:kern w:val="0"/>
          <w:sz w:val="24"/>
        </w:rPr>
        <w:t>“</w:t>
      </w:r>
      <w:r>
        <w:rPr>
          <w:rFonts w:hint="eastAsia" w:ascii="楷体_GB2312" w:eastAsia="楷体_GB2312" w:cs="楷体_GB2312"/>
          <w:kern w:val="0"/>
          <w:sz w:val="24"/>
        </w:rPr>
        <w:t>受托人解任事件</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资产服务机构解任事件</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资金保管机构解任事件</w:t>
      </w:r>
      <w:r>
        <w:rPr>
          <w:rFonts w:eastAsia="楷体_GB2312"/>
          <w:kern w:val="0"/>
          <w:sz w:val="24"/>
        </w:rPr>
        <w:t>”</w:t>
      </w:r>
      <w:r>
        <w:rPr>
          <w:rFonts w:hint="eastAsia" w:ascii="楷体_GB2312" w:eastAsia="楷体_GB2312" w:cs="楷体_GB2312"/>
          <w:kern w:val="0"/>
          <w:sz w:val="24"/>
        </w:rPr>
        <w:t>；</w:t>
      </w:r>
    </w:p>
    <w:p>
      <w:pPr>
        <w:numPr>
          <w:ilvl w:val="0"/>
          <w:numId w:val="14"/>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对全部</w:t>
      </w:r>
      <w:r>
        <w:rPr>
          <w:rFonts w:eastAsia="楷体_GB2312"/>
          <w:kern w:val="0"/>
          <w:sz w:val="24"/>
        </w:rPr>
        <w:t>“</w:t>
      </w:r>
      <w:r>
        <w:rPr>
          <w:rFonts w:hint="eastAsia" w:ascii="楷体_GB2312" w:eastAsia="楷体_GB2312" w:cs="楷体_GB2312"/>
          <w:kern w:val="0"/>
          <w:sz w:val="24"/>
        </w:rPr>
        <w:t>资产池</w:t>
      </w:r>
      <w:r>
        <w:rPr>
          <w:rFonts w:eastAsia="楷体_GB2312"/>
          <w:kern w:val="0"/>
          <w:sz w:val="24"/>
        </w:rPr>
        <w:t>”</w:t>
      </w:r>
      <w:r>
        <w:rPr>
          <w:rFonts w:hint="eastAsia" w:ascii="楷体_GB2312" w:eastAsia="楷体_GB2312" w:cs="楷体_GB2312"/>
          <w:kern w:val="0"/>
          <w:sz w:val="24"/>
        </w:rPr>
        <w:t>进行</w:t>
      </w:r>
      <w:r>
        <w:rPr>
          <w:rFonts w:eastAsia="楷体_GB2312"/>
          <w:kern w:val="0"/>
          <w:sz w:val="24"/>
        </w:rPr>
        <w:t>“</w:t>
      </w:r>
      <w:r>
        <w:rPr>
          <w:rFonts w:hint="eastAsia" w:ascii="楷体_GB2312" w:eastAsia="楷体_GB2312" w:cs="楷体_GB2312"/>
          <w:kern w:val="0"/>
          <w:sz w:val="24"/>
        </w:rPr>
        <w:t>回购</w:t>
      </w:r>
      <w:r>
        <w:rPr>
          <w:rFonts w:eastAsia="楷体_GB2312"/>
          <w:kern w:val="0"/>
          <w:sz w:val="24"/>
        </w:rPr>
        <w:t>”</w:t>
      </w:r>
      <w:r>
        <w:rPr>
          <w:rFonts w:hint="eastAsia" w:ascii="楷体_GB2312" w:eastAsia="楷体_GB2312" w:cs="楷体_GB2312"/>
          <w:kern w:val="0"/>
          <w:sz w:val="24"/>
        </w:rPr>
        <w:t>的；</w:t>
      </w:r>
    </w:p>
    <w:p>
      <w:pPr>
        <w:numPr>
          <w:ilvl w:val="0"/>
          <w:numId w:val="14"/>
        </w:numPr>
        <w:spacing w:beforeLines="50" w:afterLines="50" w:line="240" w:lineRule="atLeast"/>
        <w:rPr>
          <w:rFonts w:eastAsia="楷体_GB2312"/>
          <w:kern w:val="0"/>
          <w:sz w:val="24"/>
        </w:rPr>
      </w:pPr>
      <w:r>
        <w:rPr>
          <w:rFonts w:hint="eastAsia" w:ascii="楷体_GB2312" w:eastAsia="楷体_GB2312" w:cs="楷体_GB2312"/>
          <w:kern w:val="0"/>
          <w:sz w:val="24"/>
        </w:rPr>
        <w:t>发生任何一起</w:t>
      </w:r>
      <w:r>
        <w:rPr>
          <w:rFonts w:eastAsia="楷体_GB2312"/>
          <w:kern w:val="0"/>
          <w:sz w:val="24"/>
        </w:rPr>
        <w:t>“</w:t>
      </w:r>
      <w:r>
        <w:rPr>
          <w:rFonts w:hint="eastAsia" w:ascii="楷体_GB2312" w:eastAsia="楷体_GB2312" w:cs="楷体_GB2312"/>
          <w:kern w:val="0"/>
          <w:sz w:val="24"/>
        </w:rPr>
        <w:t>滚动发行提前终止事件</w:t>
      </w:r>
      <w:r>
        <w:rPr>
          <w:rFonts w:eastAsia="楷体_GB2312"/>
          <w:kern w:val="0"/>
          <w:sz w:val="24"/>
        </w:rPr>
        <w:t>”</w:t>
      </w:r>
      <w:r>
        <w:rPr>
          <w:rFonts w:hint="eastAsia" w:ascii="楷体_GB2312" w:eastAsia="楷体_GB2312" w:cs="楷体_GB2312"/>
          <w:kern w:val="0"/>
          <w:sz w:val="24"/>
        </w:rPr>
        <w:t>。</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循环期提前终止事件的内容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滚动发行提前终止事件：</w:t>
      </w:r>
      <w:r>
        <w:rPr>
          <w:rFonts w:hint="eastAsia" w:ascii="楷体_GB2312" w:eastAsia="楷体_GB2312" w:cs="楷体_GB2312"/>
          <w:sz w:val="24"/>
        </w:rPr>
        <w:t>系指以下任一事件：</w:t>
      </w:r>
    </w:p>
    <w:p>
      <w:pPr>
        <w:numPr>
          <w:ilvl w:val="0"/>
          <w:numId w:val="15"/>
        </w:numPr>
        <w:spacing w:beforeLines="50" w:afterLines="50" w:line="240" w:lineRule="atLeast"/>
        <w:rPr>
          <w:rFonts w:eastAsia="楷体_GB2312"/>
          <w:kern w:val="0"/>
          <w:sz w:val="24"/>
        </w:rPr>
      </w:pPr>
      <w:r>
        <w:rPr>
          <w:rFonts w:hint="eastAsia" w:ascii="楷体_GB2312" w:eastAsia="楷体_GB2312" w:cs="楷体_GB2312"/>
          <w:kern w:val="0"/>
          <w:sz w:val="24"/>
        </w:rPr>
        <w:t>发生任何一起</w:t>
      </w:r>
      <w:r>
        <w:rPr>
          <w:rFonts w:eastAsia="楷体_GB2312"/>
          <w:kern w:val="0"/>
          <w:sz w:val="24"/>
        </w:rPr>
        <w:t>“</w:t>
      </w:r>
      <w:r>
        <w:rPr>
          <w:rFonts w:hint="eastAsia" w:ascii="楷体_GB2312" w:eastAsia="楷体_GB2312" w:cs="楷体_GB2312"/>
          <w:kern w:val="0"/>
          <w:sz w:val="24"/>
        </w:rPr>
        <w:t>加速清偿事件</w:t>
      </w:r>
      <w:r>
        <w:rPr>
          <w:rFonts w:eastAsia="楷体_GB2312"/>
          <w:kern w:val="0"/>
          <w:sz w:val="24"/>
        </w:rPr>
        <w:t>”</w:t>
      </w:r>
      <w:r>
        <w:rPr>
          <w:rFonts w:hint="eastAsia" w:ascii="楷体_GB2312" w:eastAsia="楷体_GB2312" w:cs="楷体_GB2312"/>
          <w:kern w:val="0"/>
          <w:sz w:val="24"/>
        </w:rPr>
        <w:t>；</w:t>
      </w:r>
    </w:p>
    <w:p>
      <w:pPr>
        <w:numPr>
          <w:ilvl w:val="0"/>
          <w:numId w:val="15"/>
        </w:numPr>
        <w:spacing w:beforeLines="50" w:afterLines="50" w:line="240" w:lineRule="atLeast"/>
        <w:rPr>
          <w:rFonts w:hint="eastAsia" w:eastAsia="楷体_GB2312"/>
          <w:kern w:val="0"/>
          <w:sz w:val="24"/>
        </w:rPr>
      </w:pPr>
      <w:r>
        <w:rPr>
          <w:rFonts w:hint="eastAsia" w:ascii="楷体_GB2312" w:eastAsia="楷体_GB2312" w:cs="楷体_GB2312"/>
          <w:kern w:val="0"/>
          <w:sz w:val="24"/>
        </w:rPr>
        <w:t>发生任何一起</w:t>
      </w:r>
      <w:r>
        <w:rPr>
          <w:rFonts w:eastAsia="楷体_GB2312"/>
          <w:kern w:val="0"/>
          <w:sz w:val="24"/>
        </w:rPr>
        <w:t>“</w:t>
      </w:r>
      <w:r>
        <w:rPr>
          <w:rFonts w:hint="eastAsia" w:ascii="楷体_GB2312" w:eastAsia="楷体_GB2312" w:cs="楷体_GB2312"/>
          <w:kern w:val="0"/>
          <w:sz w:val="24"/>
        </w:rPr>
        <w:t>违约事件</w:t>
      </w:r>
      <w:r>
        <w:rPr>
          <w:rFonts w:eastAsia="楷体_GB2312"/>
          <w:kern w:val="0"/>
          <w:sz w:val="24"/>
        </w:rPr>
        <w:t>”</w:t>
      </w:r>
      <w:r>
        <w:rPr>
          <w:rFonts w:hint="eastAsia" w:ascii="楷体_GB2312" w:eastAsia="楷体_GB2312" w:cs="楷体_GB2312"/>
          <w:kern w:val="0"/>
          <w:sz w:val="24"/>
        </w:rPr>
        <w:t xml:space="preserve">。 </w:t>
      </w:r>
    </w:p>
    <w:p>
      <w:pPr>
        <w:tabs>
          <w:tab w:val="left" w:pos="942"/>
        </w:tabs>
        <w:spacing w:beforeLines="50" w:afterLines="50" w:line="240" w:lineRule="atLeast"/>
        <w:ind w:left="942"/>
        <w:rPr>
          <w:rFonts w:hint="eastAsia" w:eastAsia="楷体_GB2312"/>
          <w:kern w:val="0"/>
          <w:sz w:val="24"/>
          <w:u w:val="single"/>
        </w:rPr>
      </w:pPr>
      <w:r>
        <w:rPr>
          <w:rFonts w:hint="eastAsia" w:ascii="楷体_GB2312" w:eastAsia="楷体_GB2312" w:cs="楷体_GB2312"/>
          <w:b/>
          <w:i/>
          <w:color w:val="FF0000"/>
          <w:kern w:val="0"/>
          <w:sz w:val="24"/>
          <w:u w:val="single"/>
        </w:rPr>
        <w:t>滚动发行提前终止事件的内容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ascii="楷体_GB2312" w:eastAsia="楷体_GB2312" w:cs="楷体_GB2312"/>
          <w:b/>
          <w:sz w:val="24"/>
        </w:rPr>
        <w:t>受托人辞任事件：</w:t>
      </w:r>
      <w:r>
        <w:rPr>
          <w:rFonts w:eastAsia="楷体_GB2312"/>
          <w:kern w:val="0"/>
          <w:sz w:val="24"/>
        </w:rPr>
        <w:t>系指以下任一事件：</w:t>
      </w:r>
    </w:p>
    <w:p>
      <w:pPr>
        <w:numPr>
          <w:ilvl w:val="0"/>
          <w:numId w:val="16"/>
        </w:numPr>
        <w:spacing w:beforeLines="50" w:afterLines="50" w:line="240" w:lineRule="atLeast"/>
        <w:rPr>
          <w:rFonts w:ascii="楷体_GB2312" w:eastAsia="楷体_GB2312" w:cs="楷体_GB2312"/>
          <w:kern w:val="0"/>
          <w:sz w:val="24"/>
        </w:rPr>
      </w:pPr>
      <w:r>
        <w:rPr>
          <w:rFonts w:ascii="楷体_GB2312" w:eastAsia="楷体_GB2312" w:cs="楷体_GB2312"/>
          <w:kern w:val="0"/>
          <w:sz w:val="24"/>
        </w:rPr>
        <w:t>“受托人”与“委托人”、“资产支持商业票据持有人会议”协商一致同意“受托人”辞任的。</w:t>
      </w:r>
    </w:p>
    <w:p>
      <w:pPr>
        <w:numPr>
          <w:ilvl w:val="0"/>
          <w:numId w:val="16"/>
        </w:numPr>
        <w:spacing w:beforeLines="50" w:afterLines="50" w:line="240" w:lineRule="atLeast"/>
        <w:rPr>
          <w:rFonts w:ascii="楷体_GB2312" w:eastAsia="楷体_GB2312" w:cs="楷体_GB2312"/>
          <w:kern w:val="0"/>
          <w:sz w:val="24"/>
        </w:rPr>
      </w:pPr>
      <w:r>
        <w:rPr>
          <w:rFonts w:ascii="楷体_GB2312" w:eastAsia="楷体_GB2312" w:cs="楷体_GB2312"/>
          <w:kern w:val="0"/>
          <w:sz w:val="24"/>
        </w:rPr>
        <w:t>“</w:t>
      </w:r>
      <w:r>
        <w:rPr>
          <w:rFonts w:hint="eastAsia" w:ascii="楷体_GB2312" w:eastAsia="楷体_GB2312" w:cs="楷体_GB2312"/>
          <w:kern w:val="0"/>
          <w:sz w:val="24"/>
        </w:rPr>
        <w:t>受托人</w:t>
      </w:r>
      <w:r>
        <w:rPr>
          <w:rFonts w:ascii="楷体_GB2312" w:eastAsia="楷体_GB2312" w:cs="楷体_GB2312"/>
          <w:kern w:val="0"/>
          <w:sz w:val="24"/>
        </w:rPr>
        <w:t>”</w:t>
      </w:r>
      <w:r>
        <w:rPr>
          <w:rFonts w:hint="eastAsia" w:ascii="楷体_GB2312" w:eastAsia="楷体_GB2312" w:cs="楷体_GB2312"/>
          <w:kern w:val="0"/>
          <w:sz w:val="24"/>
        </w:rPr>
        <w:t>因现行</w:t>
      </w:r>
      <w:r>
        <w:rPr>
          <w:rFonts w:ascii="楷体_GB2312" w:eastAsia="楷体_GB2312" w:cs="楷体_GB2312"/>
          <w:kern w:val="0"/>
          <w:sz w:val="24"/>
        </w:rPr>
        <w:t>“</w:t>
      </w:r>
      <w:r>
        <w:rPr>
          <w:rFonts w:hint="eastAsia" w:ascii="楷体_GB2312" w:eastAsia="楷体_GB2312" w:cs="楷体_GB2312"/>
          <w:kern w:val="0"/>
          <w:sz w:val="24"/>
        </w:rPr>
        <w:t>中国</w:t>
      </w:r>
      <w:r>
        <w:rPr>
          <w:rFonts w:ascii="楷体_GB2312" w:eastAsia="楷体_GB2312" w:cs="楷体_GB2312"/>
          <w:kern w:val="0"/>
          <w:sz w:val="24"/>
        </w:rPr>
        <w:t>”“</w:t>
      </w:r>
      <w:r>
        <w:rPr>
          <w:rFonts w:hint="eastAsia" w:ascii="楷体_GB2312" w:eastAsia="楷体_GB2312" w:cs="楷体_GB2312"/>
          <w:kern w:val="0"/>
          <w:sz w:val="24"/>
        </w:rPr>
        <w:t>法律</w:t>
      </w:r>
      <w:r>
        <w:rPr>
          <w:rFonts w:ascii="楷体_GB2312" w:eastAsia="楷体_GB2312" w:cs="楷体_GB2312"/>
          <w:kern w:val="0"/>
          <w:sz w:val="24"/>
        </w:rPr>
        <w:t>”</w:t>
      </w:r>
      <w:r>
        <w:rPr>
          <w:rFonts w:hint="eastAsia" w:ascii="楷体_GB2312" w:eastAsia="楷体_GB2312" w:cs="楷体_GB2312"/>
          <w:kern w:val="0"/>
          <w:sz w:val="24"/>
        </w:rPr>
        <w:t>的修改不能继续履行</w:t>
      </w:r>
      <w:r>
        <w:rPr>
          <w:rFonts w:ascii="楷体_GB2312" w:eastAsia="楷体_GB2312" w:cs="楷体_GB2312"/>
          <w:kern w:val="0"/>
          <w:sz w:val="24"/>
        </w:rPr>
        <w:t>“</w:t>
      </w:r>
      <w:r>
        <w:rPr>
          <w:rFonts w:hint="eastAsia" w:ascii="楷体_GB2312" w:eastAsia="楷体_GB2312" w:cs="楷体_GB2312"/>
          <w:kern w:val="0"/>
          <w:sz w:val="24"/>
        </w:rPr>
        <w:t>《信托合同》</w:t>
      </w:r>
      <w:r>
        <w:rPr>
          <w:rFonts w:ascii="楷体_GB2312" w:eastAsia="楷体_GB2312" w:cs="楷体_GB2312"/>
          <w:kern w:val="0"/>
          <w:sz w:val="24"/>
        </w:rPr>
        <w:t>”</w:t>
      </w:r>
      <w:r>
        <w:rPr>
          <w:rFonts w:hint="eastAsia" w:ascii="楷体_GB2312" w:eastAsia="楷体_GB2312" w:cs="楷体_GB2312"/>
          <w:kern w:val="0"/>
          <w:sz w:val="24"/>
        </w:rPr>
        <w:t>项下</w:t>
      </w:r>
      <w:r>
        <w:rPr>
          <w:rFonts w:ascii="楷体_GB2312" w:eastAsia="楷体_GB2312" w:cs="楷体_GB2312"/>
          <w:kern w:val="0"/>
          <w:sz w:val="24"/>
        </w:rPr>
        <w:t>“</w:t>
      </w:r>
      <w:r>
        <w:rPr>
          <w:rFonts w:hint="eastAsia" w:ascii="楷体_GB2312" w:eastAsia="楷体_GB2312" w:cs="楷体_GB2312"/>
          <w:kern w:val="0"/>
          <w:sz w:val="24"/>
        </w:rPr>
        <w:t>受托人</w:t>
      </w:r>
      <w:r>
        <w:rPr>
          <w:rFonts w:ascii="楷体_GB2312" w:eastAsia="楷体_GB2312" w:cs="楷体_GB2312"/>
          <w:kern w:val="0"/>
          <w:sz w:val="24"/>
        </w:rPr>
        <w:t>”</w:t>
      </w:r>
      <w:r>
        <w:rPr>
          <w:rFonts w:hint="eastAsia" w:ascii="楷体_GB2312" w:eastAsia="楷体_GB2312" w:cs="楷体_GB2312"/>
          <w:kern w:val="0"/>
          <w:sz w:val="24"/>
        </w:rPr>
        <w:t>责任的。</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受托人辞任事件的内容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受托人解任事件：</w:t>
      </w:r>
      <w:r>
        <w:rPr>
          <w:rFonts w:hint="eastAsia" w:ascii="楷体_GB2312" w:eastAsia="楷体_GB2312" w:cs="楷体_GB2312"/>
          <w:kern w:val="0"/>
          <w:sz w:val="24"/>
        </w:rPr>
        <w:t>系指以下任一事件：</w:t>
      </w:r>
    </w:p>
    <w:p>
      <w:pPr>
        <w:numPr>
          <w:ilvl w:val="0"/>
          <w:numId w:val="17"/>
        </w:numPr>
        <w:spacing w:beforeLines="50" w:afterLines="50" w:line="240" w:lineRule="atLeast"/>
        <w:rPr>
          <w:rFonts w:eastAsia="楷体_GB2312"/>
          <w:kern w:val="0"/>
          <w:sz w:val="24"/>
        </w:rPr>
      </w:pPr>
      <w:r>
        <w:rPr>
          <w:rFonts w:eastAsia="楷体_GB2312"/>
          <w:sz w:val="24"/>
        </w:rPr>
        <w:t>“</w:t>
      </w:r>
      <w:r>
        <w:rPr>
          <w:rFonts w:hint="eastAsia" w:ascii="楷体_GB2312" w:eastAsia="楷体_GB2312" w:cs="楷体_GB2312"/>
          <w:sz w:val="24"/>
        </w:rPr>
        <w:t>受</w:t>
      </w:r>
      <w:r>
        <w:rPr>
          <w:rFonts w:hint="eastAsia" w:ascii="楷体_GB2312" w:eastAsia="楷体_GB2312" w:cs="楷体_GB2312"/>
          <w:kern w:val="0"/>
          <w:sz w:val="24"/>
        </w:rPr>
        <w:t>托人</w:t>
      </w:r>
      <w:r>
        <w:rPr>
          <w:rFonts w:eastAsia="楷体_GB2312"/>
          <w:kern w:val="0"/>
          <w:sz w:val="24"/>
        </w:rPr>
        <w:t>”</w:t>
      </w:r>
      <w:r>
        <w:rPr>
          <w:rFonts w:hint="eastAsia" w:ascii="楷体_GB2312" w:eastAsia="楷体_GB2312" w:cs="楷体_GB2312"/>
          <w:kern w:val="0"/>
          <w:sz w:val="24"/>
        </w:rPr>
        <w:t>违反</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目的处分</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或者管理、处分</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有故意或重大过失的，违背其在</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项下的职责，</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决定解任</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w:t>
      </w:r>
    </w:p>
    <w:p>
      <w:pPr>
        <w:numPr>
          <w:ilvl w:val="0"/>
          <w:numId w:val="17"/>
        </w:numPr>
        <w:spacing w:beforeLines="50" w:afterLines="50" w:line="240" w:lineRule="atLeast"/>
        <w:rPr>
          <w:rFonts w:eastAsia="楷体_GB2312"/>
          <w:b/>
          <w:sz w:val="24"/>
        </w:rPr>
      </w:pP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违反</w:t>
      </w:r>
      <w:r>
        <w:rPr>
          <w:rFonts w:hint="eastAsia" w:ascii="楷体_GB2312" w:eastAsia="楷体_GB2312" w:cs="楷体_GB2312"/>
          <w:sz w:val="24"/>
        </w:rPr>
        <w:t>所适用的</w:t>
      </w:r>
      <w:r>
        <w:rPr>
          <w:rFonts w:eastAsia="楷体_GB2312"/>
          <w:kern w:val="0"/>
          <w:sz w:val="24"/>
        </w:rPr>
        <w:t>“</w:t>
      </w:r>
      <w:r>
        <w:rPr>
          <w:rFonts w:hint="eastAsia" w:ascii="楷体_GB2312" w:eastAsia="楷体_GB2312" w:cs="楷体_GB2312"/>
          <w:kern w:val="0"/>
          <w:sz w:val="24"/>
        </w:rPr>
        <w:t>中国</w:t>
      </w:r>
      <w:r>
        <w:rPr>
          <w:rFonts w:eastAsia="楷体_GB2312"/>
          <w:kern w:val="0"/>
          <w:sz w:val="24"/>
        </w:rPr>
        <w:t>”“</w:t>
      </w:r>
      <w:r>
        <w:rPr>
          <w:rFonts w:hint="eastAsia" w:ascii="楷体_GB2312" w:eastAsia="楷体_GB2312" w:cs="楷体_GB2312"/>
          <w:kern w:val="0"/>
          <w:sz w:val="24"/>
        </w:rPr>
        <w:t>法律</w:t>
      </w:r>
      <w:r>
        <w:rPr>
          <w:rFonts w:eastAsia="楷体_GB2312"/>
          <w:kern w:val="0"/>
          <w:sz w:val="24"/>
        </w:rPr>
        <w:t>”</w:t>
      </w:r>
      <w:r>
        <w:rPr>
          <w:rFonts w:hint="eastAsia" w:ascii="楷体_GB2312" w:eastAsia="楷体_GB2312" w:cs="楷体_GB2312"/>
          <w:kern w:val="0"/>
          <w:sz w:val="24"/>
        </w:rPr>
        <w:t>或相关约定，并由此导致</w:t>
      </w:r>
      <w:r>
        <w:rPr>
          <w:rFonts w:eastAsia="楷体_GB2312"/>
          <w:kern w:val="0"/>
          <w:sz w:val="24"/>
        </w:rPr>
        <w:t>“</w:t>
      </w:r>
      <w:r>
        <w:rPr>
          <w:rFonts w:hint="eastAsia" w:ascii="楷体_GB2312" w:eastAsia="楷体_GB2312" w:cs="楷体_GB2312"/>
          <w:kern w:val="0"/>
          <w:sz w:val="24"/>
        </w:rPr>
        <w:t>受益人</w:t>
      </w:r>
      <w:r>
        <w:rPr>
          <w:rFonts w:eastAsia="楷体_GB2312"/>
          <w:kern w:val="0"/>
          <w:sz w:val="24"/>
        </w:rPr>
        <w:t>”</w:t>
      </w:r>
      <w:r>
        <w:rPr>
          <w:rFonts w:hint="eastAsia" w:ascii="楷体_GB2312" w:eastAsia="楷体_GB2312" w:cs="楷体_GB2312"/>
          <w:kern w:val="0"/>
          <w:sz w:val="24"/>
        </w:rPr>
        <w:t>不能获得本金和利息分配时，</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决定解任</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w:t>
      </w:r>
    </w:p>
    <w:p>
      <w:pPr>
        <w:numPr>
          <w:ilvl w:val="0"/>
          <w:numId w:val="17"/>
        </w:numPr>
        <w:spacing w:beforeLines="50" w:afterLines="50" w:line="240" w:lineRule="atLeast"/>
        <w:rPr>
          <w:rFonts w:eastAsia="楷体_GB2312"/>
          <w:b/>
          <w:sz w:val="24"/>
        </w:rPr>
      </w:pP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信托期限</w:t>
      </w:r>
      <w:r>
        <w:rPr>
          <w:rFonts w:eastAsia="楷体_GB2312"/>
          <w:kern w:val="0"/>
          <w:sz w:val="24"/>
        </w:rPr>
        <w:t>”</w:t>
      </w:r>
      <w:r>
        <w:rPr>
          <w:rFonts w:hint="eastAsia" w:ascii="楷体_GB2312" w:eastAsia="楷体_GB2312" w:cs="楷体_GB2312"/>
          <w:kern w:val="0"/>
          <w:sz w:val="24"/>
        </w:rPr>
        <w:t>内，如果</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实质性地违反其在</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中所作出的陈述、保证和承诺，</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决定解任</w:t>
      </w:r>
      <w:r>
        <w:rPr>
          <w:rFonts w:eastAsia="楷体_GB2312"/>
          <w:kern w:val="0"/>
          <w:sz w:val="24"/>
        </w:rPr>
        <w:t>“</w:t>
      </w:r>
      <w:r>
        <w:rPr>
          <w:rFonts w:hint="eastAsia" w:ascii="楷体_GB2312" w:eastAsia="楷体_GB2312" w:cs="楷体_GB2312"/>
          <w:kern w:val="0"/>
          <w:sz w:val="24"/>
        </w:rPr>
        <w:t>受托</w:t>
      </w:r>
      <w:r>
        <w:rPr>
          <w:rFonts w:hint="eastAsia" w:ascii="楷体_GB2312" w:eastAsia="楷体_GB2312" w:cs="楷体_GB2312"/>
          <w:sz w:val="24"/>
        </w:rPr>
        <w:t>人</w:t>
      </w:r>
      <w:r>
        <w:rPr>
          <w:rFonts w:eastAsia="楷体_GB2312"/>
          <w:sz w:val="24"/>
        </w:rPr>
        <w:t>”</w:t>
      </w:r>
      <w:r>
        <w:rPr>
          <w:rFonts w:hint="eastAsia" w:ascii="楷体_GB2312" w:eastAsia="楷体_GB2312" w:cs="楷体_GB2312"/>
          <w:sz w:val="24"/>
        </w:rPr>
        <w:t>的；</w:t>
      </w:r>
    </w:p>
    <w:p>
      <w:pPr>
        <w:numPr>
          <w:ilvl w:val="0"/>
          <w:numId w:val="17"/>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不再符合</w:t>
      </w:r>
      <w:r>
        <w:rPr>
          <w:rFonts w:eastAsia="楷体_GB2312"/>
          <w:kern w:val="0"/>
          <w:sz w:val="24"/>
        </w:rPr>
        <w:t>“</w:t>
      </w:r>
      <w:r>
        <w:rPr>
          <w:rFonts w:hint="eastAsia" w:ascii="楷体_GB2312" w:eastAsia="楷体_GB2312" w:cs="楷体_GB2312"/>
          <w:kern w:val="0"/>
          <w:sz w:val="24"/>
        </w:rPr>
        <w:t>受托人合格标准</w:t>
      </w:r>
      <w:r>
        <w:rPr>
          <w:rFonts w:eastAsia="楷体_GB2312"/>
          <w:kern w:val="0"/>
          <w:sz w:val="24"/>
        </w:rPr>
        <w:t>”</w:t>
      </w:r>
      <w:r>
        <w:rPr>
          <w:rFonts w:hint="eastAsia" w:ascii="楷体_GB2312" w:eastAsia="楷体_GB2312" w:cs="楷体_GB2312"/>
          <w:kern w:val="0"/>
          <w:sz w:val="24"/>
        </w:rPr>
        <w:t>；</w:t>
      </w:r>
    </w:p>
    <w:p>
      <w:pPr>
        <w:numPr>
          <w:ilvl w:val="0"/>
          <w:numId w:val="17"/>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发生任何</w:t>
      </w:r>
      <w:r>
        <w:rPr>
          <w:rFonts w:eastAsia="楷体_GB2312"/>
          <w:kern w:val="0"/>
          <w:sz w:val="24"/>
        </w:rPr>
        <w:t>“</w:t>
      </w:r>
      <w:r>
        <w:rPr>
          <w:rFonts w:hint="eastAsia" w:ascii="楷体_GB2312" w:eastAsia="楷体_GB2312" w:cs="楷体_GB2312"/>
          <w:kern w:val="0"/>
          <w:sz w:val="24"/>
        </w:rPr>
        <w:t>丧失清偿能力事件</w:t>
      </w:r>
      <w:r>
        <w:rPr>
          <w:rFonts w:eastAsia="楷体_GB2312"/>
          <w:kern w:val="0"/>
          <w:sz w:val="24"/>
        </w:rPr>
        <w:t>”</w:t>
      </w:r>
      <w:r>
        <w:rPr>
          <w:rFonts w:hint="eastAsia" w:ascii="楷体_GB2312" w:eastAsia="楷体_GB2312" w:cs="楷体_GB2312"/>
          <w:kern w:val="0"/>
          <w:sz w:val="24"/>
        </w:rPr>
        <w:t>。</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受托人解任事件的内容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资产服务机构解任事件：</w:t>
      </w:r>
      <w:r>
        <w:rPr>
          <w:rFonts w:hint="eastAsia" w:ascii="楷体_GB2312" w:eastAsia="楷体_GB2312" w:cs="楷体_GB2312"/>
          <w:kern w:val="0"/>
          <w:sz w:val="24"/>
        </w:rPr>
        <w:t>系指以下任一事件：</w:t>
      </w:r>
    </w:p>
    <w:p>
      <w:pPr>
        <w:numPr>
          <w:ilvl w:val="0"/>
          <w:numId w:val="18"/>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未能于</w:t>
      </w:r>
      <w:r>
        <w:rPr>
          <w:rFonts w:eastAsia="楷体_GB2312"/>
          <w:kern w:val="0"/>
          <w:sz w:val="24"/>
        </w:rPr>
        <w:t>“</w:t>
      </w:r>
      <w:r>
        <w:rPr>
          <w:rFonts w:hint="eastAsia" w:ascii="楷体_GB2312" w:eastAsia="楷体_GB2312" w:cs="楷体_GB2312"/>
          <w:kern w:val="0"/>
          <w:sz w:val="24"/>
        </w:rPr>
        <w:t>回收款转付日</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按时付款（除非由于</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不能控制的技术故障、计算机故障或电汇支付系统故障导致未能及时付款，而使该付款到期日顺延），且在</w:t>
      </w:r>
      <w:r>
        <w:rPr>
          <w:rFonts w:eastAsia="楷体_GB2312"/>
          <w:kern w:val="0"/>
          <w:sz w:val="24"/>
        </w:rPr>
        <w:t>“</w:t>
      </w:r>
      <w:r>
        <w:rPr>
          <w:rFonts w:hint="eastAsia" w:ascii="楷体_GB2312" w:eastAsia="楷体_GB2312" w:cs="楷体_GB2312"/>
          <w:kern w:val="0"/>
          <w:sz w:val="24"/>
        </w:rPr>
        <w:t>回收款转付日</w:t>
      </w:r>
      <w:r>
        <w:rPr>
          <w:rFonts w:eastAsia="楷体_GB2312"/>
          <w:kern w:val="0"/>
          <w:sz w:val="24"/>
        </w:rPr>
        <w:t>”</w:t>
      </w:r>
      <w:r>
        <w:rPr>
          <w:rFonts w:hint="eastAsia" w:ascii="楷体_GB2312" w:eastAsia="楷体_GB2312" w:cs="楷体_GB2312"/>
          <w:kern w:val="0"/>
          <w:sz w:val="24"/>
        </w:rPr>
        <w:t>（如发生顺延，是指顺延后的</w:t>
      </w:r>
      <w:r>
        <w:rPr>
          <w:rFonts w:eastAsia="楷体_GB2312"/>
          <w:kern w:val="0"/>
          <w:sz w:val="24"/>
        </w:rPr>
        <w:t>“</w:t>
      </w:r>
      <w:r>
        <w:rPr>
          <w:rFonts w:hint="eastAsia" w:ascii="楷体_GB2312" w:eastAsia="楷体_GB2312" w:cs="楷体_GB2312"/>
          <w:kern w:val="0"/>
          <w:sz w:val="24"/>
        </w:rPr>
        <w:t>回收款转付日</w:t>
      </w:r>
      <w:r>
        <w:rPr>
          <w:rFonts w:eastAsia="楷体_GB2312"/>
          <w:kern w:val="0"/>
          <w:sz w:val="24"/>
        </w:rPr>
        <w:t>”</w:t>
      </w:r>
      <w:r>
        <w:rPr>
          <w:rFonts w:hint="eastAsia" w:ascii="楷体_GB2312" w:eastAsia="楷体_GB2312" w:cs="楷体_GB2312"/>
          <w:kern w:val="0"/>
          <w:sz w:val="24"/>
        </w:rPr>
        <w:t>）后【】个</w:t>
      </w:r>
      <w:r>
        <w:rPr>
          <w:rFonts w:eastAsia="楷体_GB2312"/>
          <w:bCs/>
          <w:sz w:val="24"/>
        </w:rPr>
        <w:t>“</w:t>
      </w:r>
      <w:r>
        <w:rPr>
          <w:rFonts w:hint="eastAsia" w:ascii="楷体_GB2312" w:eastAsia="楷体_GB2312" w:cs="楷体_GB2312"/>
          <w:bCs/>
          <w:sz w:val="24"/>
        </w:rPr>
        <w:t>工作日</w:t>
      </w:r>
      <w:r>
        <w:rPr>
          <w:rFonts w:eastAsia="楷体_GB2312"/>
          <w:bCs/>
          <w:sz w:val="24"/>
        </w:rPr>
        <w:t>”</w:t>
      </w:r>
      <w:r>
        <w:rPr>
          <w:rFonts w:hint="eastAsia" w:ascii="楷体_GB2312" w:eastAsia="楷体_GB2312" w:cs="楷体_GB2312"/>
          <w:kern w:val="0"/>
          <w:sz w:val="24"/>
        </w:rPr>
        <w:t>内仍未付款；</w:t>
      </w:r>
    </w:p>
    <w:p>
      <w:pPr>
        <w:numPr>
          <w:ilvl w:val="0"/>
          <w:numId w:val="18"/>
        </w:numPr>
        <w:spacing w:beforeLines="50" w:afterLines="50" w:line="240" w:lineRule="atLeast"/>
        <w:rPr>
          <w:rFonts w:eastAsia="楷体_GB2312"/>
          <w:kern w:val="0"/>
          <w:sz w:val="24"/>
        </w:rPr>
      </w:pPr>
      <w:r>
        <w:rPr>
          <w:rFonts w:hint="eastAsia" w:ascii="楷体_GB2312" w:eastAsia="楷体_GB2312" w:cs="楷体_GB2312"/>
          <w:kern w:val="0"/>
          <w:sz w:val="24"/>
        </w:rPr>
        <w:t>发生与</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有关的</w:t>
      </w:r>
      <w:r>
        <w:rPr>
          <w:rFonts w:eastAsia="楷体_GB2312"/>
          <w:kern w:val="0"/>
          <w:sz w:val="24"/>
        </w:rPr>
        <w:t>“</w:t>
      </w:r>
      <w:r>
        <w:rPr>
          <w:rFonts w:hint="eastAsia" w:ascii="楷体_GB2312" w:eastAsia="楷体_GB2312" w:cs="楷体_GB2312"/>
          <w:kern w:val="0"/>
          <w:sz w:val="24"/>
        </w:rPr>
        <w:t>丧失清偿能力事件</w:t>
      </w:r>
      <w:r>
        <w:rPr>
          <w:rFonts w:eastAsia="楷体_GB2312"/>
          <w:kern w:val="0"/>
          <w:sz w:val="24"/>
        </w:rPr>
        <w:t>”</w:t>
      </w:r>
      <w:r>
        <w:rPr>
          <w:rFonts w:hint="eastAsia" w:ascii="楷体_GB2312" w:eastAsia="楷体_GB2312" w:cs="楷体_GB2312"/>
          <w:kern w:val="0"/>
          <w:sz w:val="24"/>
        </w:rPr>
        <w:t>；</w:t>
      </w:r>
    </w:p>
    <w:p>
      <w:pPr>
        <w:numPr>
          <w:ilvl w:val="0"/>
          <w:numId w:val="18"/>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未能保持履行</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项下实质性义务所需的资格、许可、批准、授权和</w:t>
      </w:r>
      <w:r>
        <w:rPr>
          <w:rFonts w:eastAsia="楷体_GB2312"/>
          <w:kern w:val="0"/>
          <w:sz w:val="24"/>
        </w:rPr>
        <w:t>/</w:t>
      </w:r>
      <w:r>
        <w:rPr>
          <w:rFonts w:hint="eastAsia" w:ascii="楷体_GB2312" w:eastAsia="楷体_GB2312" w:cs="楷体_GB2312"/>
          <w:kern w:val="0"/>
          <w:sz w:val="24"/>
        </w:rPr>
        <w:t>或同意，或上述资格、许可、批准、授权和</w:t>
      </w:r>
      <w:r>
        <w:rPr>
          <w:rFonts w:eastAsia="楷体_GB2312"/>
          <w:kern w:val="0"/>
          <w:sz w:val="24"/>
        </w:rPr>
        <w:t>/</w:t>
      </w:r>
      <w:r>
        <w:rPr>
          <w:rFonts w:hint="eastAsia" w:ascii="楷体_GB2312" w:eastAsia="楷体_GB2312" w:cs="楷体_GB2312"/>
          <w:kern w:val="0"/>
          <w:sz w:val="24"/>
        </w:rPr>
        <w:t>或同意被中止、收回或撤销；</w:t>
      </w:r>
    </w:p>
    <w:p>
      <w:pPr>
        <w:numPr>
          <w:ilvl w:val="0"/>
          <w:numId w:val="18"/>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未能于</w:t>
      </w:r>
      <w:r>
        <w:rPr>
          <w:rFonts w:eastAsia="楷体_GB2312"/>
          <w:kern w:val="0"/>
          <w:sz w:val="24"/>
        </w:rPr>
        <w:t>“</w:t>
      </w:r>
      <w:r>
        <w:rPr>
          <w:rFonts w:hint="eastAsia" w:ascii="楷体_GB2312" w:eastAsia="楷体_GB2312" w:cs="楷体_GB2312"/>
          <w:kern w:val="0"/>
          <w:sz w:val="24"/>
        </w:rPr>
        <w:t>服务机构报告日</w:t>
      </w:r>
      <w:r>
        <w:rPr>
          <w:rFonts w:eastAsia="楷体_GB2312"/>
          <w:kern w:val="0"/>
          <w:sz w:val="24"/>
        </w:rPr>
        <w:t>”</w:t>
      </w:r>
      <w:r>
        <w:rPr>
          <w:rFonts w:hint="eastAsia" w:ascii="楷体_GB2312" w:eastAsia="楷体_GB2312" w:cs="楷体_GB2312"/>
          <w:kern w:val="0"/>
          <w:sz w:val="24"/>
        </w:rPr>
        <w:t>当日或之前交付相关</w:t>
      </w:r>
      <w:r>
        <w:rPr>
          <w:rFonts w:eastAsia="楷体_GB2312"/>
          <w:kern w:val="0"/>
          <w:sz w:val="24"/>
        </w:rPr>
        <w:t>“</w:t>
      </w:r>
      <w:r>
        <w:rPr>
          <w:rFonts w:hint="eastAsia" w:ascii="楷体_GB2312" w:eastAsia="楷体_GB2312" w:cs="楷体_GB2312"/>
          <w:kern w:val="0"/>
          <w:sz w:val="24"/>
        </w:rPr>
        <w:t>收款期间</w:t>
      </w:r>
      <w:r>
        <w:rPr>
          <w:rFonts w:eastAsia="楷体_GB2312"/>
          <w:kern w:val="0"/>
          <w:sz w:val="24"/>
        </w:rPr>
        <w:t>”</w:t>
      </w:r>
      <w:r>
        <w:rPr>
          <w:rFonts w:hint="eastAsia" w:ascii="楷体_GB2312" w:eastAsia="楷体_GB2312" w:cs="楷体_GB2312"/>
          <w:kern w:val="0"/>
          <w:sz w:val="24"/>
        </w:rPr>
        <w:t>的</w:t>
      </w:r>
      <w:r>
        <w:rPr>
          <w:rFonts w:eastAsia="楷体_GB2312"/>
          <w:kern w:val="0"/>
          <w:sz w:val="24"/>
        </w:rPr>
        <w:t>“</w:t>
      </w:r>
      <w:r>
        <w:rPr>
          <w:rFonts w:hint="eastAsia" w:ascii="楷体_GB2312" w:eastAsia="楷体_GB2312" w:cs="楷体_GB2312"/>
          <w:kern w:val="0"/>
          <w:sz w:val="24"/>
        </w:rPr>
        <w:t>资产服务机构报告</w:t>
      </w:r>
      <w:r>
        <w:rPr>
          <w:rFonts w:eastAsia="楷体_GB2312"/>
          <w:kern w:val="0"/>
          <w:sz w:val="24"/>
        </w:rPr>
        <w:t>”</w:t>
      </w:r>
      <w:r>
        <w:rPr>
          <w:rFonts w:hint="eastAsia" w:ascii="楷体_GB2312" w:eastAsia="楷体_GB2312" w:cs="楷体_GB2312"/>
          <w:kern w:val="0"/>
          <w:sz w:val="24"/>
        </w:rPr>
        <w:t>（除非由于</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不能控制的技术故障、计算机故障或电汇支付系统故障导致未能及时提供，而使</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提供</w:t>
      </w:r>
      <w:r>
        <w:rPr>
          <w:rFonts w:eastAsia="楷体_GB2312"/>
          <w:kern w:val="0"/>
          <w:sz w:val="24"/>
        </w:rPr>
        <w:t>“</w:t>
      </w:r>
      <w:r>
        <w:rPr>
          <w:rFonts w:hint="eastAsia" w:ascii="楷体_GB2312" w:eastAsia="楷体_GB2312" w:cs="楷体_GB2312"/>
          <w:kern w:val="0"/>
          <w:sz w:val="24"/>
        </w:rPr>
        <w:t>资产服务机构报告</w:t>
      </w:r>
      <w:r>
        <w:rPr>
          <w:rFonts w:eastAsia="楷体_GB2312"/>
          <w:kern w:val="0"/>
          <w:sz w:val="24"/>
        </w:rPr>
        <w:t>”</w:t>
      </w:r>
      <w:r>
        <w:rPr>
          <w:rFonts w:hint="eastAsia" w:ascii="楷体_GB2312" w:eastAsia="楷体_GB2312" w:cs="楷体_GB2312"/>
          <w:kern w:val="0"/>
          <w:sz w:val="24"/>
        </w:rPr>
        <w:t>的日期延后），且在</w:t>
      </w:r>
      <w:r>
        <w:rPr>
          <w:rFonts w:eastAsia="楷体_GB2312"/>
          <w:kern w:val="0"/>
          <w:sz w:val="24"/>
        </w:rPr>
        <w:t>“</w:t>
      </w:r>
      <w:r>
        <w:rPr>
          <w:rFonts w:hint="eastAsia" w:ascii="楷体_GB2312" w:eastAsia="楷体_GB2312" w:cs="楷体_GB2312"/>
          <w:kern w:val="0"/>
          <w:sz w:val="24"/>
        </w:rPr>
        <w:t>资产机构报告日</w:t>
      </w:r>
      <w:r>
        <w:rPr>
          <w:rFonts w:eastAsia="楷体_GB2312"/>
          <w:kern w:val="0"/>
          <w:sz w:val="24"/>
        </w:rPr>
        <w:t>”</w:t>
      </w:r>
      <w:r>
        <w:rPr>
          <w:rFonts w:hint="eastAsia" w:ascii="楷体_GB2312" w:eastAsia="楷体_GB2312" w:cs="楷体_GB2312"/>
          <w:kern w:val="0"/>
          <w:sz w:val="24"/>
        </w:rPr>
        <w:t>（如发生顺延，是指顺延后的</w:t>
      </w:r>
      <w:r>
        <w:rPr>
          <w:rFonts w:eastAsia="楷体_GB2312"/>
          <w:kern w:val="0"/>
          <w:sz w:val="24"/>
        </w:rPr>
        <w:t>“</w:t>
      </w:r>
      <w:r>
        <w:rPr>
          <w:rFonts w:hint="eastAsia" w:ascii="楷体_GB2312" w:eastAsia="楷体_GB2312" w:cs="楷体_GB2312"/>
          <w:kern w:val="0"/>
          <w:sz w:val="24"/>
        </w:rPr>
        <w:t>服务机构报告日</w:t>
      </w:r>
      <w:r>
        <w:rPr>
          <w:rFonts w:eastAsia="楷体_GB2312"/>
          <w:kern w:val="0"/>
          <w:sz w:val="24"/>
        </w:rPr>
        <w:t>”</w:t>
      </w:r>
      <w:r>
        <w:rPr>
          <w:rFonts w:hint="eastAsia" w:ascii="楷体_GB2312" w:eastAsia="楷体_GB2312" w:cs="楷体_GB2312"/>
          <w:kern w:val="0"/>
          <w:sz w:val="24"/>
        </w:rPr>
        <w:t>）后【】个</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内仍未提交；</w:t>
      </w:r>
    </w:p>
    <w:p>
      <w:pPr>
        <w:numPr>
          <w:ilvl w:val="0"/>
          <w:numId w:val="18"/>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严重违反：</w:t>
      </w:r>
      <w:r>
        <w:rPr>
          <w:rFonts w:eastAsia="楷体_GB2312"/>
          <w:kern w:val="0"/>
          <w:sz w:val="24"/>
        </w:rPr>
        <w:t>(1)</w:t>
      </w:r>
      <w:r>
        <w:rPr>
          <w:rFonts w:hint="eastAsia" w:ascii="楷体_GB2312" w:eastAsia="楷体_GB2312" w:cs="楷体_GB2312"/>
          <w:kern w:val="0"/>
          <w:sz w:val="24"/>
        </w:rPr>
        <w:t>除付款义务和提供报告义务以外的其他义务；</w:t>
      </w:r>
      <w:r>
        <w:rPr>
          <w:rFonts w:eastAsia="楷体_GB2312"/>
          <w:kern w:val="0"/>
          <w:sz w:val="24"/>
        </w:rPr>
        <w:t>(2)“</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中所做的任何陈述和保证，且在</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实际得知（不管是否收到</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的通知）该等违约行为后，该行为仍持续超过【】个</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，以致对</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的回收产生</w:t>
      </w:r>
      <w:r>
        <w:rPr>
          <w:rFonts w:eastAsia="楷体_GB2312"/>
          <w:kern w:val="0"/>
          <w:sz w:val="24"/>
        </w:rPr>
        <w:t>“</w:t>
      </w:r>
      <w:r>
        <w:rPr>
          <w:rFonts w:hint="eastAsia" w:ascii="楷体_GB2312" w:eastAsia="楷体_GB2312" w:cs="楷体_GB2312"/>
          <w:kern w:val="0"/>
          <w:sz w:val="24"/>
        </w:rPr>
        <w:t>重大不利影响</w:t>
      </w:r>
      <w:r>
        <w:rPr>
          <w:rFonts w:eastAsia="楷体_GB2312"/>
          <w:kern w:val="0"/>
          <w:sz w:val="24"/>
        </w:rPr>
        <w:t>”</w:t>
      </w:r>
      <w:r>
        <w:rPr>
          <w:rFonts w:hint="eastAsia" w:ascii="楷体_GB2312" w:eastAsia="楷体_GB2312" w:cs="楷体_GB2312"/>
          <w:kern w:val="0"/>
          <w:sz w:val="24"/>
        </w:rPr>
        <w:t>；</w:t>
      </w:r>
    </w:p>
    <w:p>
      <w:pPr>
        <w:numPr>
          <w:ilvl w:val="0"/>
          <w:numId w:val="18"/>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合理认为已经发生与</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有关的</w:t>
      </w:r>
      <w:r>
        <w:rPr>
          <w:rFonts w:eastAsia="楷体_GB2312"/>
          <w:kern w:val="0"/>
          <w:sz w:val="24"/>
        </w:rPr>
        <w:t>“</w:t>
      </w:r>
      <w:r>
        <w:rPr>
          <w:rFonts w:hint="eastAsia" w:ascii="楷体_GB2312" w:eastAsia="楷体_GB2312" w:cs="楷体_GB2312"/>
          <w:kern w:val="0"/>
          <w:sz w:val="24"/>
        </w:rPr>
        <w:t>重大不利变化</w:t>
      </w:r>
      <w:r>
        <w:rPr>
          <w:rFonts w:eastAsia="楷体_GB2312"/>
          <w:kern w:val="0"/>
          <w:sz w:val="24"/>
        </w:rPr>
        <w:t>”</w:t>
      </w:r>
      <w:r>
        <w:rPr>
          <w:rFonts w:hint="eastAsia" w:ascii="楷体_GB2312" w:eastAsia="楷体_GB2312" w:cs="楷体_GB2312"/>
          <w:kern w:val="0"/>
          <w:sz w:val="24"/>
        </w:rPr>
        <w:t>；</w:t>
      </w:r>
    </w:p>
    <w:p>
      <w:pPr>
        <w:numPr>
          <w:ilvl w:val="0"/>
          <w:numId w:val="18"/>
        </w:numPr>
        <w:spacing w:beforeLines="50" w:afterLines="50" w:line="240" w:lineRule="atLeast"/>
        <w:rPr>
          <w:rFonts w:eastAsia="楷体_GB2312"/>
          <w:kern w:val="0"/>
          <w:sz w:val="24"/>
        </w:rPr>
      </w:pPr>
      <w:r>
        <w:rPr>
          <w:rFonts w:hint="eastAsia" w:ascii="楷体_GB2312" w:eastAsia="楷体_GB2312" w:cs="楷体_GB2312"/>
          <w:kern w:val="0"/>
          <w:sz w:val="24"/>
        </w:rPr>
        <w:t>仅在</w:t>
      </w:r>
      <w:r>
        <w:rPr>
          <w:rFonts w:eastAsia="楷体_GB2312"/>
          <w:kern w:val="0"/>
          <w:sz w:val="24"/>
        </w:rPr>
        <w:t>“</w:t>
      </w:r>
      <w:r>
        <w:rPr>
          <w:rFonts w:hint="eastAsia" w:ascii="楷体_GB2312" w:eastAsia="楷体_GB2312" w:cs="楷体_GB2312"/>
          <w:kern w:val="0"/>
          <w:sz w:val="24"/>
        </w:rPr>
        <w:t>【发起机构简称】</w:t>
      </w:r>
      <w:r>
        <w:rPr>
          <w:rFonts w:eastAsia="楷体_GB2312"/>
          <w:kern w:val="0"/>
          <w:sz w:val="24"/>
        </w:rPr>
        <w:t>”</w:t>
      </w:r>
      <w:r>
        <w:rPr>
          <w:rFonts w:hint="eastAsia" w:ascii="楷体_GB2312" w:eastAsia="楷体_GB2312" w:cs="楷体_GB2312"/>
          <w:kern w:val="0"/>
          <w:sz w:val="24"/>
        </w:rPr>
        <w:t>为</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时，</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未能落实</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，在</w:t>
      </w:r>
      <w:r>
        <w:rPr>
          <w:rFonts w:eastAsia="楷体_GB2312"/>
          <w:kern w:val="0"/>
          <w:sz w:val="24"/>
        </w:rPr>
        <w:t>“</w:t>
      </w:r>
      <w:r>
        <w:rPr>
          <w:rFonts w:hint="eastAsia" w:ascii="楷体_GB2312" w:eastAsia="楷体_GB2312" w:cs="楷体_GB2312"/>
          <w:kern w:val="0"/>
          <w:sz w:val="24"/>
        </w:rPr>
        <w:t>信托生效日</w:t>
      </w:r>
      <w:r>
        <w:rPr>
          <w:rFonts w:eastAsia="楷体_GB2312"/>
          <w:kern w:val="0"/>
          <w:sz w:val="24"/>
        </w:rPr>
        <w:t>”</w:t>
      </w:r>
      <w:r>
        <w:rPr>
          <w:rFonts w:hint="eastAsia" w:ascii="楷体_GB2312" w:eastAsia="楷体_GB2312" w:cs="楷体_GB2312"/>
          <w:kern w:val="0"/>
          <w:sz w:val="24"/>
        </w:rPr>
        <w:t>后【】日内，未能按照</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的约定，对</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指明的所有</w:t>
      </w:r>
      <w:r>
        <w:rPr>
          <w:rFonts w:eastAsia="楷体_GB2312"/>
          <w:kern w:val="0"/>
          <w:sz w:val="24"/>
        </w:rPr>
        <w:t>“</w:t>
      </w:r>
      <w:r>
        <w:rPr>
          <w:rFonts w:hint="eastAsia" w:ascii="楷体_GB2312" w:eastAsia="楷体_GB2312" w:cs="楷体_GB2312"/>
          <w:kern w:val="0"/>
          <w:sz w:val="24"/>
        </w:rPr>
        <w:t>账户记录</w:t>
      </w:r>
      <w:r>
        <w:rPr>
          <w:rFonts w:eastAsia="楷体_GB2312"/>
          <w:kern w:val="0"/>
          <w:sz w:val="24"/>
        </w:rPr>
        <w:t>”</w:t>
      </w:r>
      <w:r>
        <w:rPr>
          <w:rFonts w:hint="eastAsia" w:ascii="楷体_GB2312" w:eastAsia="楷体_GB2312" w:cs="楷体_GB2312"/>
          <w:kern w:val="0"/>
          <w:sz w:val="24"/>
        </w:rPr>
        <w:t>原件以及与上述</w:t>
      </w:r>
      <w:r>
        <w:rPr>
          <w:rFonts w:eastAsia="楷体_GB2312"/>
          <w:kern w:val="0"/>
          <w:sz w:val="24"/>
        </w:rPr>
        <w:t>“</w:t>
      </w:r>
      <w:r>
        <w:rPr>
          <w:rFonts w:hint="eastAsia" w:ascii="楷体_GB2312" w:eastAsia="楷体_GB2312" w:cs="楷体_GB2312"/>
          <w:kern w:val="0"/>
          <w:sz w:val="24"/>
        </w:rPr>
        <w:t>账户记录</w:t>
      </w:r>
      <w:r>
        <w:rPr>
          <w:rFonts w:eastAsia="楷体_GB2312"/>
          <w:kern w:val="0"/>
          <w:sz w:val="24"/>
        </w:rPr>
        <w:t>”</w:t>
      </w:r>
      <w:r>
        <w:rPr>
          <w:rFonts w:hint="eastAsia" w:ascii="楷体_GB2312" w:eastAsia="楷体_GB2312" w:cs="楷体_GB2312"/>
          <w:kern w:val="0"/>
          <w:sz w:val="24"/>
        </w:rPr>
        <w:t>相关的所有文件按</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的约定进行保管；</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资产服务机构解任事件的内容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资金保管机构解任事件：</w:t>
      </w:r>
      <w:r>
        <w:rPr>
          <w:rFonts w:hint="eastAsia" w:ascii="楷体_GB2312" w:eastAsia="楷体_GB2312" w:cs="楷体_GB2312"/>
          <w:sz w:val="24"/>
        </w:rPr>
        <w:t>系指以下任一事件：</w:t>
      </w:r>
    </w:p>
    <w:p>
      <w:pPr>
        <w:numPr>
          <w:ilvl w:val="0"/>
          <w:numId w:val="19"/>
        </w:numPr>
        <w:spacing w:beforeLines="50" w:afterLines="50" w:line="240" w:lineRule="atLeast"/>
        <w:rPr>
          <w:rFonts w:eastAsia="楷体_GB2312"/>
          <w:sz w:val="24"/>
        </w:rPr>
      </w:pP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sz w:val="24"/>
        </w:rPr>
        <w:t>被依法取消了资产证券化资金保管机构的资格；</w:t>
      </w:r>
    </w:p>
    <w:p>
      <w:pPr>
        <w:numPr>
          <w:ilvl w:val="0"/>
          <w:numId w:val="19"/>
        </w:numPr>
        <w:spacing w:beforeLines="50" w:afterLines="50" w:line="240" w:lineRule="atLeast"/>
        <w:rPr>
          <w:rFonts w:eastAsia="楷体_GB2312"/>
          <w:sz w:val="24"/>
        </w:rPr>
      </w:pPr>
      <w:r>
        <w:rPr>
          <w:rFonts w:hint="eastAsia" w:ascii="楷体_GB2312" w:eastAsia="楷体_GB2312" w:cs="楷体_GB2312"/>
          <w:sz w:val="24"/>
        </w:rPr>
        <w:t>除</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另有</w:t>
      </w:r>
      <w:r>
        <w:rPr>
          <w:rFonts w:hint="eastAsia" w:ascii="楷体_GB2312" w:eastAsia="楷体_GB2312" w:cs="楷体_GB2312"/>
          <w:bCs/>
          <w:sz w:val="24"/>
        </w:rPr>
        <w:t>约定</w:t>
      </w:r>
      <w:r>
        <w:rPr>
          <w:rFonts w:hint="eastAsia" w:ascii="楷体_GB2312" w:eastAsia="楷体_GB2312" w:cs="楷体_GB2312"/>
          <w:sz w:val="24"/>
        </w:rPr>
        <w:t>以外，</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没有根据</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的</w:t>
      </w:r>
      <w:r>
        <w:rPr>
          <w:rFonts w:hint="eastAsia" w:ascii="楷体_GB2312" w:eastAsia="楷体_GB2312" w:cs="楷体_GB2312"/>
          <w:bCs/>
          <w:sz w:val="24"/>
        </w:rPr>
        <w:t>约定</w:t>
      </w:r>
      <w:r>
        <w:rPr>
          <w:rFonts w:hint="eastAsia" w:ascii="楷体_GB2312" w:eastAsia="楷体_GB2312" w:cs="楷体_GB2312"/>
          <w:sz w:val="24"/>
        </w:rPr>
        <w:t>，按照</w:t>
      </w:r>
      <w:r>
        <w:rPr>
          <w:rFonts w:eastAsia="楷体_GB2312"/>
          <w:sz w:val="24"/>
        </w:rPr>
        <w:t>“</w:t>
      </w:r>
      <w:r>
        <w:rPr>
          <w:rFonts w:hint="eastAsia" w:ascii="楷体_GB2312" w:eastAsia="楷体_GB2312" w:cs="楷体_GB2312"/>
          <w:sz w:val="24"/>
        </w:rPr>
        <w:t>受托人</w:t>
      </w:r>
      <w:r>
        <w:rPr>
          <w:rFonts w:eastAsia="楷体_GB2312"/>
          <w:sz w:val="24"/>
        </w:rPr>
        <w:t>”</w:t>
      </w:r>
      <w:bookmarkStart w:id="38" w:name="_Hlk507250865"/>
      <w:r>
        <w:rPr>
          <w:rFonts w:hint="eastAsia" w:ascii="楷体_GB2312" w:eastAsia="楷体_GB2312" w:cs="楷体_GB2312"/>
          <w:sz w:val="24"/>
        </w:rPr>
        <w:t>的指令转付</w:t>
      </w:r>
      <w:r>
        <w:rPr>
          <w:rFonts w:eastAsia="楷体_GB2312"/>
          <w:sz w:val="24"/>
        </w:rPr>
        <w:t>“</w:t>
      </w:r>
      <w:r>
        <w:rPr>
          <w:rFonts w:hint="eastAsia" w:ascii="楷体_GB2312" w:eastAsia="楷体_GB2312" w:cs="楷体_GB2312"/>
          <w:sz w:val="24"/>
        </w:rPr>
        <w:t>信托账户</w:t>
      </w:r>
      <w:r>
        <w:rPr>
          <w:rFonts w:eastAsia="楷体_GB2312"/>
          <w:sz w:val="24"/>
        </w:rPr>
        <w:t>”</w:t>
      </w:r>
      <w:r>
        <w:rPr>
          <w:rFonts w:hint="eastAsia" w:ascii="楷体_GB2312" w:eastAsia="楷体_GB2312" w:cs="楷体_GB2312"/>
          <w:sz w:val="24"/>
        </w:rPr>
        <w:t>中的资金，且经</w:t>
      </w:r>
      <w:r>
        <w:rPr>
          <w:rFonts w:eastAsia="楷体_GB2312"/>
          <w:sz w:val="24"/>
        </w:rPr>
        <w:t>“</w:t>
      </w:r>
      <w:r>
        <w:rPr>
          <w:rFonts w:hint="eastAsia" w:ascii="楷体_GB2312" w:eastAsia="楷体_GB2312" w:cs="楷体_GB2312"/>
          <w:sz w:val="24"/>
        </w:rPr>
        <w:t>受</w:t>
      </w:r>
      <w:bookmarkEnd w:id="38"/>
      <w:r>
        <w:rPr>
          <w:rFonts w:hint="eastAsia" w:ascii="楷体_GB2312" w:eastAsia="楷体_GB2312" w:cs="楷体_GB2312"/>
          <w:sz w:val="24"/>
        </w:rPr>
        <w:t>托人</w:t>
      </w:r>
      <w:r>
        <w:rPr>
          <w:rFonts w:eastAsia="楷体_GB2312"/>
          <w:sz w:val="24"/>
        </w:rPr>
        <w:t>”</w:t>
      </w:r>
      <w:r>
        <w:rPr>
          <w:rFonts w:hint="eastAsia" w:ascii="楷体_GB2312" w:eastAsia="楷体_GB2312" w:cs="楷体_GB2312"/>
          <w:sz w:val="24"/>
        </w:rPr>
        <w:t>书面通知后【】个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内，仍未纠正的；</w:t>
      </w:r>
    </w:p>
    <w:p>
      <w:pPr>
        <w:numPr>
          <w:ilvl w:val="0"/>
          <w:numId w:val="19"/>
        </w:numPr>
        <w:spacing w:beforeLines="50" w:afterLines="50" w:line="240" w:lineRule="atLeast"/>
        <w:rPr>
          <w:rFonts w:eastAsia="楷体_GB2312"/>
          <w:sz w:val="24"/>
        </w:rPr>
      </w:pP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实质性地违反了其在</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项下除资金拨付之外的任何其他义务，且该等违约行为自发生之日起持续超过【】个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w:t>
      </w:r>
    </w:p>
    <w:p>
      <w:pPr>
        <w:numPr>
          <w:ilvl w:val="0"/>
          <w:numId w:val="19"/>
        </w:numPr>
        <w:spacing w:beforeLines="50" w:afterLines="50" w:line="240" w:lineRule="atLeast"/>
        <w:rPr>
          <w:rFonts w:eastAsia="楷体_GB2312"/>
          <w:sz w:val="24"/>
        </w:rPr>
      </w:pP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《资金保管合同》</w:t>
      </w:r>
      <w:r>
        <w:rPr>
          <w:rFonts w:eastAsia="楷体_GB2312"/>
          <w:sz w:val="24"/>
        </w:rPr>
        <w:t>”</w:t>
      </w:r>
      <w:r>
        <w:rPr>
          <w:rFonts w:hint="eastAsia" w:ascii="楷体_GB2312" w:eastAsia="楷体_GB2312" w:cs="楷体_GB2312"/>
          <w:sz w:val="24"/>
        </w:rPr>
        <w:t>或其提交的其他文件中所作的任何陈述、证明或保证，被证明在做出时在任何重要方面是虚假或错误的；</w:t>
      </w:r>
    </w:p>
    <w:p>
      <w:pPr>
        <w:numPr>
          <w:ilvl w:val="0"/>
          <w:numId w:val="19"/>
        </w:numPr>
        <w:spacing w:beforeLines="50" w:afterLines="50" w:line="240" w:lineRule="atLeast"/>
        <w:rPr>
          <w:rFonts w:eastAsia="楷体_GB2312"/>
          <w:b/>
          <w:sz w:val="24"/>
        </w:rPr>
      </w:pPr>
      <w:r>
        <w:rPr>
          <w:rFonts w:hint="eastAsia" w:ascii="楷体_GB2312" w:eastAsia="楷体_GB2312" w:cs="楷体_GB2312"/>
          <w:sz w:val="24"/>
        </w:rPr>
        <w:t>发生与</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有关的</w:t>
      </w:r>
      <w:r>
        <w:rPr>
          <w:rFonts w:eastAsia="楷体_GB2312"/>
          <w:sz w:val="24"/>
        </w:rPr>
        <w:t>“</w:t>
      </w:r>
      <w:r>
        <w:rPr>
          <w:rFonts w:hint="eastAsia" w:ascii="楷体_GB2312" w:eastAsia="楷体_GB2312" w:cs="楷体_GB2312"/>
          <w:sz w:val="24"/>
        </w:rPr>
        <w:t>丧失清偿能力事件</w:t>
      </w:r>
      <w:r>
        <w:rPr>
          <w:rFonts w:eastAsia="楷体_GB2312"/>
          <w:sz w:val="24"/>
        </w:rPr>
        <w:t>”</w:t>
      </w:r>
      <w:r>
        <w:rPr>
          <w:rFonts w:hint="eastAsia" w:ascii="楷体_GB2312" w:eastAsia="楷体_GB2312" w:cs="楷体_GB2312"/>
          <w:sz w:val="24"/>
        </w:rPr>
        <w:t>；</w:t>
      </w:r>
    </w:p>
    <w:p>
      <w:pPr>
        <w:numPr>
          <w:ilvl w:val="0"/>
          <w:numId w:val="19"/>
        </w:numPr>
        <w:spacing w:beforeLines="50" w:afterLines="50" w:line="240" w:lineRule="atLeast"/>
        <w:rPr>
          <w:rFonts w:eastAsia="楷体_GB2312"/>
          <w:b/>
          <w:sz w:val="24"/>
        </w:rPr>
      </w:pPr>
      <w:r>
        <w:rPr>
          <w:rFonts w:hint="eastAsia" w:ascii="楷体_GB2312" w:eastAsia="楷体_GB2312" w:cs="楷体_GB2312"/>
          <w:kern w:val="0"/>
          <w:sz w:val="24"/>
        </w:rPr>
        <w:t>发生</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合理认为</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信用状况显著恶化不宜继续担任</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的其他情形。</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资金保管机构解任事件的内容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资金监管机构解任事件：</w:t>
      </w:r>
      <w:r>
        <w:rPr>
          <w:rFonts w:hint="eastAsia" w:ascii="楷体_GB2312" w:eastAsia="楷体_GB2312" w:cs="楷体_GB2312"/>
          <w:sz w:val="24"/>
        </w:rPr>
        <w:t>系指以下任一事件：</w:t>
      </w:r>
    </w:p>
    <w:p>
      <w:pPr>
        <w:numPr>
          <w:ilvl w:val="0"/>
          <w:numId w:val="20"/>
        </w:numPr>
        <w:spacing w:beforeLines="50" w:afterLines="50" w:line="240" w:lineRule="atLeast"/>
        <w:rPr>
          <w:rFonts w:eastAsia="楷体_GB2312"/>
          <w:sz w:val="24"/>
        </w:rPr>
      </w:pPr>
      <w:r>
        <w:rPr>
          <w:rFonts w:eastAsia="楷体_GB2312"/>
          <w:kern w:val="0"/>
          <w:sz w:val="24"/>
        </w:rPr>
        <w:t>“</w:t>
      </w:r>
      <w:r>
        <w:rPr>
          <w:rFonts w:hint="eastAsia" w:ascii="楷体_GB2312" w:eastAsia="楷体_GB2312" w:cs="楷体_GB2312"/>
          <w:kern w:val="0"/>
          <w:sz w:val="24"/>
        </w:rPr>
        <w:t>资金监管机构</w:t>
      </w:r>
      <w:r>
        <w:rPr>
          <w:rFonts w:eastAsia="楷体_GB2312"/>
          <w:kern w:val="0"/>
          <w:sz w:val="24"/>
        </w:rPr>
        <w:t>”</w:t>
      </w:r>
      <w:r>
        <w:rPr>
          <w:rFonts w:hint="eastAsia" w:ascii="楷体_GB2312" w:eastAsia="楷体_GB2312" w:cs="楷体_GB2312"/>
          <w:sz w:val="24"/>
        </w:rPr>
        <w:t>被依法取消了经营相关的业务资格；</w:t>
      </w:r>
    </w:p>
    <w:p>
      <w:pPr>
        <w:numPr>
          <w:ilvl w:val="0"/>
          <w:numId w:val="20"/>
        </w:numPr>
        <w:spacing w:beforeLines="50" w:afterLines="50" w:line="240" w:lineRule="atLeast"/>
        <w:rPr>
          <w:rFonts w:eastAsia="楷体_GB2312"/>
          <w:sz w:val="24"/>
        </w:rPr>
      </w:pPr>
      <w:r>
        <w:rPr>
          <w:rFonts w:hint="eastAsia" w:ascii="楷体_GB2312" w:eastAsia="楷体_GB2312" w:cs="楷体_GB2312"/>
          <w:sz w:val="24"/>
        </w:rPr>
        <w:t>除</w:t>
      </w:r>
      <w:r>
        <w:rPr>
          <w:rFonts w:eastAsia="楷体_GB2312"/>
          <w:sz w:val="24"/>
        </w:rPr>
        <w:t>“</w:t>
      </w:r>
      <w:r>
        <w:rPr>
          <w:rFonts w:hint="eastAsia" w:ascii="楷体_GB2312" w:eastAsia="楷体_GB2312" w:cs="楷体_GB2312"/>
          <w:sz w:val="24"/>
        </w:rPr>
        <w:t>《资金</w:t>
      </w:r>
      <w:r>
        <w:rPr>
          <w:rFonts w:hint="eastAsia" w:ascii="楷体_GB2312" w:eastAsia="楷体_GB2312" w:cs="楷体_GB2312"/>
          <w:kern w:val="0"/>
          <w:sz w:val="24"/>
        </w:rPr>
        <w:t>监管</w:t>
      </w:r>
      <w:r>
        <w:rPr>
          <w:rFonts w:hint="eastAsia" w:ascii="楷体_GB2312" w:eastAsia="楷体_GB2312" w:cs="楷体_GB2312"/>
          <w:sz w:val="24"/>
        </w:rPr>
        <w:t>合同》</w:t>
      </w:r>
      <w:r>
        <w:rPr>
          <w:rFonts w:eastAsia="楷体_GB2312"/>
          <w:sz w:val="24"/>
        </w:rPr>
        <w:t>”</w:t>
      </w:r>
      <w:r>
        <w:rPr>
          <w:rFonts w:hint="eastAsia" w:ascii="楷体_GB2312" w:eastAsia="楷体_GB2312" w:cs="楷体_GB2312"/>
          <w:sz w:val="24"/>
        </w:rPr>
        <w:t>另有</w:t>
      </w:r>
      <w:r>
        <w:rPr>
          <w:rFonts w:hint="eastAsia" w:ascii="楷体_GB2312" w:eastAsia="楷体_GB2312" w:cs="楷体_GB2312"/>
          <w:bCs/>
          <w:sz w:val="24"/>
        </w:rPr>
        <w:t>约定</w:t>
      </w:r>
      <w:r>
        <w:rPr>
          <w:rFonts w:hint="eastAsia" w:ascii="楷体_GB2312" w:eastAsia="楷体_GB2312" w:cs="楷体_GB2312"/>
          <w:sz w:val="24"/>
        </w:rPr>
        <w:t>以外，</w:t>
      </w: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没有根据</w:t>
      </w:r>
      <w:r>
        <w:rPr>
          <w:rFonts w:eastAsia="楷体_GB2312"/>
          <w:sz w:val="24"/>
        </w:rPr>
        <w:t>“</w:t>
      </w:r>
      <w:r>
        <w:rPr>
          <w:rFonts w:hint="eastAsia" w:ascii="楷体_GB2312" w:eastAsia="楷体_GB2312" w:cs="楷体_GB2312"/>
          <w:sz w:val="24"/>
        </w:rPr>
        <w:t>《资金</w:t>
      </w:r>
      <w:r>
        <w:rPr>
          <w:rFonts w:hint="eastAsia" w:ascii="楷体_GB2312" w:eastAsia="楷体_GB2312" w:cs="楷体_GB2312"/>
          <w:kern w:val="0"/>
          <w:sz w:val="24"/>
        </w:rPr>
        <w:t>监管</w:t>
      </w:r>
      <w:r>
        <w:rPr>
          <w:rFonts w:hint="eastAsia" w:ascii="楷体_GB2312" w:eastAsia="楷体_GB2312" w:cs="楷体_GB2312"/>
          <w:sz w:val="24"/>
        </w:rPr>
        <w:t>合同》</w:t>
      </w:r>
      <w:r>
        <w:rPr>
          <w:rFonts w:eastAsia="楷体_GB2312"/>
          <w:sz w:val="24"/>
        </w:rPr>
        <w:t>”</w:t>
      </w:r>
      <w:r>
        <w:rPr>
          <w:rFonts w:hint="eastAsia" w:ascii="楷体_GB2312" w:eastAsia="楷体_GB2312" w:cs="楷体_GB2312"/>
          <w:sz w:val="24"/>
        </w:rPr>
        <w:t>的</w:t>
      </w:r>
      <w:r>
        <w:rPr>
          <w:rFonts w:hint="eastAsia" w:ascii="楷体_GB2312" w:eastAsia="楷体_GB2312" w:cs="楷体_GB2312"/>
          <w:bCs/>
          <w:sz w:val="24"/>
        </w:rPr>
        <w:t>约定</w:t>
      </w:r>
      <w:r>
        <w:rPr>
          <w:rFonts w:hint="eastAsia" w:ascii="楷体_GB2312" w:eastAsia="楷体_GB2312" w:cs="楷体_GB2312"/>
          <w:sz w:val="24"/>
        </w:rPr>
        <w:t>，按照</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的指令转付</w:t>
      </w:r>
      <w:r>
        <w:rPr>
          <w:rFonts w:eastAsia="楷体_GB2312"/>
          <w:sz w:val="24"/>
        </w:rPr>
        <w:t>“</w:t>
      </w:r>
      <w:r>
        <w:rPr>
          <w:rFonts w:hint="eastAsia" w:ascii="楷体_GB2312" w:eastAsia="楷体_GB2312" w:cs="楷体_GB2312"/>
          <w:sz w:val="24"/>
        </w:rPr>
        <w:t>监管账户</w:t>
      </w:r>
      <w:r>
        <w:rPr>
          <w:rFonts w:eastAsia="楷体_GB2312"/>
          <w:sz w:val="24"/>
        </w:rPr>
        <w:t>”</w:t>
      </w:r>
      <w:r>
        <w:rPr>
          <w:rFonts w:hint="eastAsia" w:ascii="楷体_GB2312" w:eastAsia="楷体_GB2312" w:cs="楷体_GB2312"/>
          <w:sz w:val="24"/>
        </w:rPr>
        <w:t>中的资金，且经</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书面通知后【】个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内，仍未纠正的；</w:t>
      </w:r>
    </w:p>
    <w:p>
      <w:pPr>
        <w:numPr>
          <w:ilvl w:val="0"/>
          <w:numId w:val="20"/>
        </w:numPr>
        <w:spacing w:beforeLines="50" w:afterLines="50" w:line="240" w:lineRule="atLeast"/>
        <w:rPr>
          <w:rFonts w:eastAsia="楷体_GB2312"/>
          <w:sz w:val="24"/>
        </w:rPr>
      </w:pP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实质性地违反了其在</w:t>
      </w:r>
      <w:r>
        <w:rPr>
          <w:rFonts w:eastAsia="楷体_GB2312"/>
          <w:sz w:val="24"/>
        </w:rPr>
        <w:t>“</w:t>
      </w:r>
      <w:r>
        <w:rPr>
          <w:rFonts w:hint="eastAsia" w:ascii="楷体_GB2312" w:eastAsia="楷体_GB2312" w:cs="楷体_GB2312"/>
          <w:sz w:val="24"/>
        </w:rPr>
        <w:t>《资金</w:t>
      </w:r>
      <w:r>
        <w:rPr>
          <w:rFonts w:hint="eastAsia" w:ascii="楷体_GB2312" w:eastAsia="楷体_GB2312" w:cs="楷体_GB2312"/>
          <w:kern w:val="0"/>
          <w:sz w:val="24"/>
        </w:rPr>
        <w:t>监管</w:t>
      </w:r>
      <w:r>
        <w:rPr>
          <w:rFonts w:hint="eastAsia" w:ascii="楷体_GB2312" w:eastAsia="楷体_GB2312" w:cs="楷体_GB2312"/>
          <w:sz w:val="24"/>
        </w:rPr>
        <w:t>合同》</w:t>
      </w:r>
      <w:r>
        <w:rPr>
          <w:rFonts w:eastAsia="楷体_GB2312"/>
          <w:sz w:val="24"/>
        </w:rPr>
        <w:t>”</w:t>
      </w:r>
      <w:r>
        <w:rPr>
          <w:rFonts w:hint="eastAsia" w:ascii="楷体_GB2312" w:eastAsia="楷体_GB2312" w:cs="楷体_GB2312"/>
          <w:sz w:val="24"/>
        </w:rPr>
        <w:t>项下除资金拨付之外的任何其他义务，且该等违约行为自发生之日起持续超过【】个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w:t>
      </w:r>
    </w:p>
    <w:p>
      <w:pPr>
        <w:numPr>
          <w:ilvl w:val="0"/>
          <w:numId w:val="20"/>
        </w:numPr>
        <w:spacing w:beforeLines="50" w:afterLines="50" w:line="240" w:lineRule="atLeast"/>
        <w:rPr>
          <w:rFonts w:eastAsia="楷体_GB2312"/>
          <w:sz w:val="24"/>
        </w:rPr>
      </w:pPr>
      <w:r>
        <w:rPr>
          <w:rFonts w:eastAsia="楷体_GB2312"/>
          <w:sz w:val="24"/>
        </w:rPr>
        <w:t>“</w:t>
      </w:r>
      <w:r>
        <w:rPr>
          <w:rFonts w:hint="eastAsia" w:ascii="楷体_GB2312" w:eastAsia="楷体_GB2312" w:cs="楷体_GB2312"/>
          <w:sz w:val="24"/>
        </w:rPr>
        <w:t>资金保管机构</w:t>
      </w:r>
      <w:r>
        <w:rPr>
          <w:rFonts w:eastAsia="楷体_GB2312"/>
          <w:sz w:val="24"/>
        </w:rPr>
        <w:t>”</w:t>
      </w:r>
      <w:r>
        <w:rPr>
          <w:rFonts w:hint="eastAsia" w:ascii="楷体_GB2312" w:eastAsia="楷体_GB2312" w:cs="楷体_GB2312"/>
          <w:sz w:val="24"/>
        </w:rPr>
        <w:t>在</w:t>
      </w:r>
      <w:r>
        <w:rPr>
          <w:rFonts w:eastAsia="楷体_GB2312"/>
          <w:sz w:val="24"/>
        </w:rPr>
        <w:t>“</w:t>
      </w:r>
      <w:r>
        <w:rPr>
          <w:rFonts w:hint="eastAsia" w:ascii="楷体_GB2312" w:eastAsia="楷体_GB2312" w:cs="楷体_GB2312"/>
          <w:sz w:val="24"/>
        </w:rPr>
        <w:t>《资金</w:t>
      </w:r>
      <w:r>
        <w:rPr>
          <w:rFonts w:hint="eastAsia" w:ascii="楷体_GB2312" w:eastAsia="楷体_GB2312" w:cs="楷体_GB2312"/>
          <w:kern w:val="0"/>
          <w:sz w:val="24"/>
        </w:rPr>
        <w:t>监管</w:t>
      </w:r>
      <w:r>
        <w:rPr>
          <w:rFonts w:hint="eastAsia" w:ascii="楷体_GB2312" w:eastAsia="楷体_GB2312" w:cs="楷体_GB2312"/>
          <w:sz w:val="24"/>
        </w:rPr>
        <w:t>合同》</w:t>
      </w:r>
      <w:r>
        <w:rPr>
          <w:rFonts w:eastAsia="楷体_GB2312"/>
          <w:sz w:val="24"/>
        </w:rPr>
        <w:t>”</w:t>
      </w:r>
      <w:r>
        <w:rPr>
          <w:rFonts w:hint="eastAsia" w:ascii="楷体_GB2312" w:eastAsia="楷体_GB2312" w:cs="楷体_GB2312"/>
          <w:sz w:val="24"/>
        </w:rPr>
        <w:t>或其提交的其他文件中所作的任何陈述、证明或保证，被证明在做出时在任何重要方面是虚假或错误的；</w:t>
      </w:r>
    </w:p>
    <w:p>
      <w:pPr>
        <w:numPr>
          <w:ilvl w:val="0"/>
          <w:numId w:val="20"/>
        </w:numPr>
        <w:spacing w:beforeLines="50" w:afterLines="50" w:line="240" w:lineRule="atLeast"/>
        <w:rPr>
          <w:rFonts w:eastAsia="楷体_GB2312"/>
          <w:b/>
          <w:sz w:val="24"/>
        </w:rPr>
      </w:pPr>
      <w:r>
        <w:rPr>
          <w:rFonts w:hint="eastAsia" w:ascii="楷体_GB2312" w:eastAsia="楷体_GB2312" w:cs="楷体_GB2312"/>
          <w:sz w:val="24"/>
        </w:rPr>
        <w:t>发生与</w:t>
      </w:r>
      <w:r>
        <w:rPr>
          <w:rFonts w:eastAsia="楷体_GB2312"/>
          <w:sz w:val="24"/>
        </w:rPr>
        <w:t>“</w:t>
      </w:r>
      <w:r>
        <w:rPr>
          <w:rFonts w:hint="eastAsia" w:ascii="楷体_GB2312" w:eastAsia="楷体_GB2312" w:cs="楷体_GB2312"/>
          <w:sz w:val="24"/>
        </w:rPr>
        <w:t>资金</w:t>
      </w:r>
      <w:r>
        <w:rPr>
          <w:rFonts w:hint="eastAsia" w:ascii="楷体_GB2312" w:eastAsia="楷体_GB2312" w:cs="楷体_GB2312"/>
          <w:kern w:val="0"/>
          <w:sz w:val="24"/>
        </w:rPr>
        <w:t>监管</w:t>
      </w:r>
      <w:r>
        <w:rPr>
          <w:rFonts w:hint="eastAsia" w:ascii="楷体_GB2312" w:eastAsia="楷体_GB2312" w:cs="楷体_GB2312"/>
          <w:sz w:val="24"/>
        </w:rPr>
        <w:t>机构</w:t>
      </w:r>
      <w:r>
        <w:rPr>
          <w:rFonts w:eastAsia="楷体_GB2312"/>
          <w:sz w:val="24"/>
        </w:rPr>
        <w:t>”</w:t>
      </w:r>
      <w:r>
        <w:rPr>
          <w:rFonts w:hint="eastAsia" w:ascii="楷体_GB2312" w:eastAsia="楷体_GB2312" w:cs="楷体_GB2312"/>
          <w:sz w:val="24"/>
        </w:rPr>
        <w:t>有关的</w:t>
      </w:r>
      <w:r>
        <w:rPr>
          <w:rFonts w:eastAsia="楷体_GB2312"/>
          <w:sz w:val="24"/>
        </w:rPr>
        <w:t>“</w:t>
      </w:r>
      <w:r>
        <w:rPr>
          <w:rFonts w:hint="eastAsia" w:ascii="楷体_GB2312" w:eastAsia="楷体_GB2312" w:cs="楷体_GB2312"/>
          <w:sz w:val="24"/>
        </w:rPr>
        <w:t>丧失清偿能力事件</w:t>
      </w:r>
      <w:r>
        <w:rPr>
          <w:rFonts w:eastAsia="楷体_GB2312"/>
          <w:sz w:val="24"/>
        </w:rPr>
        <w:t>”</w:t>
      </w:r>
      <w:r>
        <w:rPr>
          <w:rFonts w:hint="eastAsia" w:ascii="楷体_GB2312" w:eastAsia="楷体_GB2312" w:cs="楷体_GB2312"/>
          <w:sz w:val="24"/>
        </w:rPr>
        <w:t>；</w:t>
      </w:r>
    </w:p>
    <w:p>
      <w:pPr>
        <w:numPr>
          <w:ilvl w:val="0"/>
          <w:numId w:val="20"/>
        </w:numPr>
        <w:spacing w:beforeLines="50" w:afterLines="50" w:line="240" w:lineRule="atLeast"/>
        <w:rPr>
          <w:rFonts w:eastAsia="楷体_GB2312"/>
          <w:b/>
          <w:sz w:val="24"/>
        </w:rPr>
      </w:pPr>
      <w:r>
        <w:rPr>
          <w:rFonts w:hint="eastAsia" w:ascii="楷体_GB2312" w:eastAsia="楷体_GB2312" w:cs="楷体_GB2312"/>
          <w:kern w:val="0"/>
          <w:sz w:val="24"/>
        </w:rPr>
        <w:t>发生</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合理认为</w:t>
      </w:r>
      <w:r>
        <w:rPr>
          <w:rFonts w:eastAsia="楷体_GB2312"/>
          <w:kern w:val="0"/>
          <w:sz w:val="24"/>
        </w:rPr>
        <w:t>“</w:t>
      </w:r>
      <w:r>
        <w:rPr>
          <w:rFonts w:hint="eastAsia" w:ascii="楷体_GB2312" w:eastAsia="楷体_GB2312" w:cs="楷体_GB2312"/>
          <w:kern w:val="0"/>
          <w:sz w:val="24"/>
        </w:rPr>
        <w:t>资金监管机构</w:t>
      </w:r>
      <w:r>
        <w:rPr>
          <w:rFonts w:eastAsia="楷体_GB2312"/>
          <w:kern w:val="0"/>
          <w:sz w:val="24"/>
        </w:rPr>
        <w:t>”</w:t>
      </w:r>
      <w:r>
        <w:rPr>
          <w:rFonts w:hint="eastAsia" w:ascii="楷体_GB2312" w:eastAsia="楷体_GB2312" w:cs="楷体_GB2312"/>
          <w:kern w:val="0"/>
          <w:sz w:val="24"/>
        </w:rPr>
        <w:t>信用状况显著恶化不宜继续担任</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的其他情形。</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资金保管机构解任事件的内容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权利完善事件：</w:t>
      </w:r>
      <w:r>
        <w:rPr>
          <w:rFonts w:hint="eastAsia" w:ascii="楷体_GB2312" w:eastAsia="楷体_GB2312" w:cs="楷体_GB2312"/>
          <w:kern w:val="0"/>
          <w:sz w:val="24"/>
        </w:rPr>
        <w:t>系指以下任一事件：</w:t>
      </w:r>
    </w:p>
    <w:p>
      <w:pPr>
        <w:numPr>
          <w:ilvl w:val="0"/>
          <w:numId w:val="21"/>
        </w:numPr>
        <w:spacing w:beforeLines="50" w:afterLines="50" w:line="240" w:lineRule="atLeast"/>
        <w:rPr>
          <w:rFonts w:eastAsia="楷体_GB2312"/>
          <w:sz w:val="24"/>
        </w:rPr>
      </w:pPr>
      <w:r>
        <w:rPr>
          <w:rFonts w:hint="eastAsia" w:ascii="楷体_GB2312" w:eastAsia="楷体_GB2312" w:cs="楷体_GB2312"/>
          <w:sz w:val="24"/>
        </w:rPr>
        <w:t>发生任何一起</w:t>
      </w:r>
      <w:r>
        <w:rPr>
          <w:rFonts w:eastAsia="楷体_GB2312"/>
          <w:sz w:val="24"/>
        </w:rPr>
        <w:t>“</w:t>
      </w:r>
      <w:r>
        <w:rPr>
          <w:rFonts w:hint="eastAsia" w:ascii="楷体_GB2312" w:eastAsia="楷体_GB2312" w:cs="楷体_GB2312"/>
          <w:sz w:val="24"/>
        </w:rPr>
        <w:t>资产服务机构解任事件</w:t>
      </w:r>
      <w:r>
        <w:rPr>
          <w:rFonts w:eastAsia="楷体_GB2312"/>
          <w:sz w:val="24"/>
        </w:rPr>
        <w:t>”</w:t>
      </w:r>
      <w:r>
        <w:rPr>
          <w:rFonts w:hint="eastAsia" w:ascii="楷体_GB2312" w:eastAsia="楷体_GB2312" w:cs="楷体_GB2312"/>
          <w:sz w:val="24"/>
        </w:rPr>
        <w:t>，导致</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被解任；</w:t>
      </w:r>
    </w:p>
    <w:p>
      <w:pPr>
        <w:numPr>
          <w:ilvl w:val="0"/>
          <w:numId w:val="21"/>
        </w:numPr>
        <w:spacing w:beforeLines="50" w:afterLines="50" w:line="240" w:lineRule="atLeast"/>
        <w:rPr>
          <w:rFonts w:eastAsia="楷体_GB2312"/>
          <w:sz w:val="24"/>
        </w:rPr>
      </w:pP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发生任何一起</w:t>
      </w:r>
      <w:r>
        <w:rPr>
          <w:rFonts w:eastAsia="楷体_GB2312"/>
          <w:sz w:val="24"/>
        </w:rPr>
        <w:t>“</w:t>
      </w:r>
      <w:r>
        <w:rPr>
          <w:rFonts w:hint="eastAsia" w:ascii="楷体_GB2312" w:eastAsia="楷体_GB2312" w:cs="楷体_GB2312"/>
          <w:sz w:val="24"/>
        </w:rPr>
        <w:t>丧失清偿能力事件</w:t>
      </w:r>
      <w:r>
        <w:rPr>
          <w:rFonts w:eastAsia="楷体_GB2312"/>
          <w:sz w:val="24"/>
        </w:rPr>
        <w:t>”</w:t>
      </w:r>
      <w:r>
        <w:rPr>
          <w:rFonts w:hint="eastAsia" w:ascii="楷体_GB2312" w:eastAsia="楷体_GB2312" w:cs="楷体_GB2312"/>
          <w:sz w:val="24"/>
        </w:rPr>
        <w:t>。</w:t>
      </w:r>
    </w:p>
    <w:p>
      <w:pPr>
        <w:spacing w:beforeLines="50" w:afterLines="50" w:line="240" w:lineRule="atLeast"/>
        <w:ind w:left="942"/>
        <w:rPr>
          <w:rFonts w:eastAsia="楷体_GB2312"/>
          <w:b/>
          <w:bCs/>
          <w:i/>
          <w:color w:val="FF0000"/>
          <w:sz w:val="24"/>
          <w:u w:val="single"/>
        </w:rPr>
      </w:pPr>
      <w:r>
        <w:rPr>
          <w:rFonts w:hint="eastAsia" w:ascii="楷体_GB2312" w:eastAsia="楷体_GB2312" w:cs="楷体_GB2312"/>
          <w:b/>
          <w:bCs/>
          <w:i/>
          <w:color w:val="FF0000"/>
          <w:sz w:val="24"/>
          <w:u w:val="single"/>
        </w:rPr>
        <w:t>权利完善事件的内容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bCs/>
          <w:i/>
          <w:color w:val="FF000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bookmarkStart w:id="39" w:name="_Hlk507250893"/>
      <w:bookmarkEnd w:id="39"/>
      <w:r>
        <w:rPr>
          <w:rFonts w:hint="eastAsia" w:ascii="楷体_GB2312" w:eastAsia="楷体_GB2312" w:cs="楷体_GB2312"/>
          <w:b/>
          <w:bCs/>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丧失清偿能力事件：</w:t>
      </w: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【差额支付承诺人】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及</w:t>
      </w:r>
      <w:r>
        <w:rPr>
          <w:rFonts w:hint="eastAsia" w:eastAsia="楷体_GB2312"/>
          <w:kern w:val="0"/>
          <w:sz w:val="24"/>
        </w:rPr>
        <w:t>“资金监管机构”而言，系指以下任一事件：</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sz w:val="24"/>
        </w:rPr>
        <w:t>经</w:t>
      </w:r>
      <w:r>
        <w:rPr>
          <w:rFonts w:hint="eastAsia" w:ascii="楷体_GB2312" w:eastAsia="楷体_GB2312" w:cs="楷体_GB2312"/>
          <w:kern w:val="0"/>
          <w:sz w:val="24"/>
        </w:rPr>
        <w:t>国务院金融监督管理机构（如</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sz w:val="24"/>
        </w:rPr>
        <w:t>）同意，上述机构向人民法院提交破产申请，</w:t>
      </w:r>
      <w:r>
        <w:rPr>
          <w:rFonts w:hint="eastAsia" w:ascii="楷体_GB2312" w:eastAsia="楷体_GB2312" w:cs="楷体_GB2312"/>
          <w:kern w:val="0"/>
          <w:sz w:val="24"/>
        </w:rPr>
        <w:t>或国务院金融监督管理机构（如</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kern w:val="0"/>
          <w:sz w:val="24"/>
        </w:rPr>
        <w:t>）向人民法院提出对上述机构进行重整或破产清算的申请；</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kern w:val="0"/>
          <w:sz w:val="24"/>
        </w:rPr>
        <w:t>其债权人向人民法院申请宣布上述机构破产且该等申请未在</w:t>
      </w:r>
      <w:r>
        <w:rPr>
          <w:rFonts w:eastAsia="楷体_GB2312"/>
          <w:kern w:val="0"/>
          <w:sz w:val="24"/>
        </w:rPr>
        <w:t>120</w:t>
      </w:r>
      <w:r>
        <w:rPr>
          <w:rFonts w:hint="eastAsia" w:ascii="楷体_GB2312" w:eastAsia="楷体_GB2312" w:cs="楷体_GB2312"/>
          <w:kern w:val="0"/>
          <w:sz w:val="24"/>
        </w:rPr>
        <w:t>个</w:t>
      </w:r>
      <w:r>
        <w:rPr>
          <w:rFonts w:eastAsia="楷体_GB2312"/>
          <w:kern w:val="0"/>
          <w:sz w:val="24"/>
        </w:rPr>
        <w:t>“</w:t>
      </w:r>
      <w:r>
        <w:rPr>
          <w:rFonts w:hint="eastAsia" w:ascii="楷体_GB2312" w:eastAsia="楷体_GB2312" w:cs="楷体_GB2312"/>
          <w:kern w:val="0"/>
          <w:sz w:val="24"/>
        </w:rPr>
        <w:t>工作日</w:t>
      </w:r>
      <w:r>
        <w:rPr>
          <w:rFonts w:eastAsia="楷体_GB2312"/>
          <w:kern w:val="0"/>
          <w:sz w:val="24"/>
        </w:rPr>
        <w:t>”</w:t>
      </w:r>
      <w:r>
        <w:rPr>
          <w:rFonts w:hint="eastAsia" w:ascii="楷体_GB2312" w:eastAsia="楷体_GB2312" w:cs="楷体_GB2312"/>
          <w:kern w:val="0"/>
          <w:sz w:val="24"/>
        </w:rPr>
        <w:t>内被驳回或撤诉；</w:t>
      </w:r>
    </w:p>
    <w:p>
      <w:pPr>
        <w:numPr>
          <w:ilvl w:val="0"/>
          <w:numId w:val="22"/>
        </w:numPr>
        <w:spacing w:beforeLines="50" w:afterLines="50" w:line="240" w:lineRule="atLeast"/>
        <w:rPr>
          <w:rFonts w:eastAsia="楷体_GB2312"/>
          <w:kern w:val="0"/>
          <w:sz w:val="24"/>
        </w:rPr>
      </w:pPr>
      <w:bookmarkStart w:id="40" w:name="_Ref152131008"/>
      <w:bookmarkEnd w:id="40"/>
      <w:r>
        <w:rPr>
          <w:rFonts w:hint="eastAsia" w:ascii="楷体_GB2312" w:eastAsia="楷体_GB2312" w:cs="楷体_GB2312"/>
          <w:kern w:val="0"/>
          <w:sz w:val="24"/>
        </w:rPr>
        <w:t>上述机构因分立、合并或出现公司章程规定的解散事由，向国务院金融业监管机构（如</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kern w:val="0"/>
          <w:sz w:val="24"/>
        </w:rPr>
        <w:t>）申请解散；</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sz w:val="24"/>
        </w:rPr>
        <w:t>国务院</w:t>
      </w:r>
      <w:r>
        <w:rPr>
          <w:rFonts w:hint="eastAsia" w:ascii="楷体_GB2312" w:eastAsia="楷体_GB2312" w:cs="楷体_GB2312"/>
          <w:kern w:val="0"/>
          <w:sz w:val="24"/>
        </w:rPr>
        <w:t>金融业监管机构（如</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kern w:val="0"/>
          <w:sz w:val="24"/>
        </w:rPr>
        <w:t>）根据《金融机构撤销条例》规定责令上述机构解散；</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sz w:val="24"/>
        </w:rPr>
        <w:t>国务院</w:t>
      </w:r>
      <w:r>
        <w:rPr>
          <w:rFonts w:hint="eastAsia" w:ascii="楷体_GB2312" w:eastAsia="楷体_GB2312" w:cs="楷体_GB2312"/>
          <w:kern w:val="0"/>
          <w:sz w:val="24"/>
        </w:rPr>
        <w:t>金融业监管机构（如</w:t>
      </w:r>
      <w:r>
        <w:rPr>
          <w:rFonts w:eastAsia="楷体_GB2312"/>
          <w:sz w:val="24"/>
        </w:rPr>
        <w:t>“</w:t>
      </w:r>
      <w:r>
        <w:rPr>
          <w:rFonts w:hint="eastAsia" w:ascii="楷体_GB2312" w:eastAsia="楷体_GB2312" w:cs="楷体_GB2312"/>
          <w:sz w:val="24"/>
        </w:rPr>
        <w:t>银保监会</w:t>
      </w:r>
      <w:r>
        <w:rPr>
          <w:rFonts w:eastAsia="楷体_GB2312"/>
          <w:sz w:val="24"/>
        </w:rPr>
        <w:t>”</w:t>
      </w:r>
      <w:r>
        <w:rPr>
          <w:rFonts w:hint="eastAsia" w:ascii="楷体_GB2312" w:eastAsia="楷体_GB2312" w:cs="楷体_GB2312"/>
          <w:kern w:val="0"/>
          <w:sz w:val="24"/>
        </w:rPr>
        <w:t>）公告将上述机构接管；</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sz w:val="24"/>
        </w:rPr>
        <w:t>上述</w:t>
      </w:r>
      <w:r>
        <w:rPr>
          <w:rFonts w:hint="eastAsia" w:ascii="楷体_GB2312" w:eastAsia="楷体_GB2312" w:cs="楷体_GB2312"/>
          <w:kern w:val="0"/>
          <w:sz w:val="24"/>
        </w:rPr>
        <w:t>机构不能或宣布不能按期偿付债务；或根据应适用的</w:t>
      </w:r>
      <w:r>
        <w:rPr>
          <w:rFonts w:eastAsia="楷体_GB2312"/>
          <w:sz w:val="24"/>
        </w:rPr>
        <w:t>“</w:t>
      </w:r>
      <w:r>
        <w:rPr>
          <w:rFonts w:hint="eastAsia" w:ascii="楷体_GB2312" w:eastAsia="楷体_GB2312" w:cs="楷体_GB2312"/>
          <w:sz w:val="24"/>
        </w:rPr>
        <w:t>中国</w:t>
      </w:r>
      <w:r>
        <w:rPr>
          <w:rFonts w:eastAsia="楷体_GB2312"/>
          <w:sz w:val="24"/>
        </w:rPr>
        <w:t>”“</w:t>
      </w:r>
      <w:r>
        <w:rPr>
          <w:rFonts w:hint="eastAsia" w:ascii="楷体_GB2312" w:eastAsia="楷体_GB2312" w:cs="楷体_GB2312"/>
          <w:sz w:val="24"/>
        </w:rPr>
        <w:t>法律</w:t>
      </w:r>
      <w:r>
        <w:rPr>
          <w:rFonts w:eastAsia="楷体_GB2312"/>
          <w:sz w:val="24"/>
        </w:rPr>
        <w:t>”</w:t>
      </w:r>
      <w:r>
        <w:rPr>
          <w:rFonts w:hint="eastAsia" w:ascii="楷体_GB2312" w:eastAsia="楷体_GB2312" w:cs="楷体_GB2312"/>
          <w:kern w:val="0"/>
          <w:sz w:val="24"/>
        </w:rPr>
        <w:t>被视为不能按期偿付债务；</w:t>
      </w:r>
    </w:p>
    <w:p>
      <w:pPr>
        <w:numPr>
          <w:ilvl w:val="0"/>
          <w:numId w:val="22"/>
        </w:numPr>
        <w:spacing w:beforeLines="50" w:afterLines="50" w:line="240" w:lineRule="atLeast"/>
        <w:rPr>
          <w:rFonts w:eastAsia="楷体_GB2312"/>
          <w:kern w:val="0"/>
          <w:sz w:val="24"/>
        </w:rPr>
      </w:pPr>
      <w:r>
        <w:rPr>
          <w:rFonts w:hint="eastAsia" w:ascii="楷体_GB2312" w:eastAsia="楷体_GB2312" w:cs="楷体_GB2312"/>
          <w:kern w:val="0"/>
          <w:sz w:val="24"/>
        </w:rPr>
        <w:t>上述机构停止或威胁停止继续经营其主营业务。</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丧失清偿能力事件的内容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重大不利变化：</w:t>
      </w:r>
      <w:r>
        <w:rPr>
          <w:rFonts w:hint="eastAsia" w:ascii="楷体_GB2312" w:eastAsia="楷体_GB2312" w:cs="楷体_GB2312"/>
          <w:kern w:val="0"/>
          <w:sz w:val="24"/>
        </w:rPr>
        <w:t>系指任何自然人、合伙、有限责任公司、股份有限公司、信托（包括商业信托）、非公司制团体、合资企业、企业法人、政府实体或其他任何实体的法律地位、财务状况、资产或业务前景的不利变化，这些变化对其履行</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项下义务的能力产生</w:t>
      </w:r>
      <w:r>
        <w:rPr>
          <w:rFonts w:eastAsia="楷体_GB2312"/>
          <w:bCs/>
          <w:sz w:val="24"/>
        </w:rPr>
        <w:t>“</w:t>
      </w:r>
      <w:r>
        <w:rPr>
          <w:rFonts w:hint="eastAsia" w:ascii="楷体_GB2312" w:eastAsia="楷体_GB2312" w:cs="楷体_GB2312"/>
          <w:kern w:val="0"/>
          <w:sz w:val="24"/>
        </w:rPr>
        <w:t>重大不利影响</w:t>
      </w:r>
      <w:r>
        <w:rPr>
          <w:rFonts w:eastAsia="楷体_GB2312"/>
          <w:bCs/>
          <w:sz w:val="24"/>
        </w:rPr>
        <w:t>”</w:t>
      </w:r>
      <w:r>
        <w:rPr>
          <w:rFonts w:hint="eastAsia" w:ascii="楷体_GB2312" w:eastAsia="楷体_GB2312" w:cs="楷体_GB2312"/>
          <w:kern w:val="0"/>
          <w:sz w:val="24"/>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重大不利影响：</w:t>
      </w:r>
      <w:r>
        <w:rPr>
          <w:rFonts w:hint="eastAsia" w:ascii="楷体_GB2312" w:eastAsia="楷体_GB2312" w:cs="楷体_GB2312"/>
          <w:kern w:val="0"/>
          <w:sz w:val="24"/>
        </w:rPr>
        <w:t>系指根据</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的合理判断，可能对以下各项之一产生重大不利影响的事件、情况、监管行为、制裁或罚款：</w:t>
      </w:r>
    </w:p>
    <w:p>
      <w:pPr>
        <w:numPr>
          <w:ilvl w:val="0"/>
          <w:numId w:val="23"/>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资产</w:t>
      </w:r>
      <w:r>
        <w:rPr>
          <w:rFonts w:eastAsia="楷体_GB2312"/>
          <w:kern w:val="0"/>
          <w:sz w:val="24"/>
        </w:rPr>
        <w:t>”</w:t>
      </w:r>
      <w:r>
        <w:rPr>
          <w:rFonts w:hint="eastAsia" w:ascii="楷体_GB2312" w:eastAsia="楷体_GB2312" w:cs="楷体_GB2312"/>
          <w:kern w:val="0"/>
          <w:sz w:val="24"/>
        </w:rPr>
        <w:t>的可回收性；</w:t>
      </w:r>
    </w:p>
    <w:p>
      <w:pPr>
        <w:numPr>
          <w:ilvl w:val="0"/>
          <w:numId w:val="23"/>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w:t>
      </w:r>
    </w:p>
    <w:p>
      <w:pPr>
        <w:numPr>
          <w:ilvl w:val="0"/>
          <w:numId w:val="23"/>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资产支持商业票据持有人</w:t>
      </w:r>
      <w:r>
        <w:rPr>
          <w:rFonts w:eastAsia="楷体_GB2312"/>
          <w:kern w:val="0"/>
          <w:sz w:val="24"/>
        </w:rPr>
        <w:t>”</w:t>
      </w:r>
      <w:r>
        <w:rPr>
          <w:rFonts w:hint="eastAsia" w:ascii="楷体_GB2312" w:eastAsia="楷体_GB2312" w:cs="楷体_GB2312"/>
          <w:kern w:val="0"/>
          <w:sz w:val="24"/>
        </w:rPr>
        <w:t>的权益；</w:t>
      </w:r>
    </w:p>
    <w:p>
      <w:pPr>
        <w:numPr>
          <w:ilvl w:val="0"/>
          <w:numId w:val="23"/>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或</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的（财务或其他）状况、业务或财产；</w:t>
      </w:r>
    </w:p>
    <w:p>
      <w:pPr>
        <w:numPr>
          <w:ilvl w:val="0"/>
          <w:numId w:val="23"/>
        </w:numPr>
        <w:spacing w:beforeLines="50" w:afterLines="50" w:line="240" w:lineRule="atLeast"/>
        <w:rPr>
          <w:rFonts w:eastAsia="楷体_GB2312"/>
          <w:b/>
          <w:sz w:val="24"/>
        </w:rPr>
      </w:pP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登记托管机构</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支付代理机构</w:t>
      </w:r>
      <w:r>
        <w:rPr>
          <w:rFonts w:eastAsia="楷体_GB2312"/>
          <w:kern w:val="0"/>
          <w:sz w:val="24"/>
        </w:rPr>
        <w:t>”</w:t>
      </w:r>
      <w:r>
        <w:rPr>
          <w:rFonts w:hint="eastAsia" w:ascii="楷体_GB2312" w:eastAsia="楷体_GB2312" w:cs="楷体_GB2312"/>
          <w:kern w:val="0"/>
          <w:sz w:val="24"/>
        </w:rPr>
        <w:t>履行其在</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下各自义务的能力。</w:t>
      </w:r>
    </w:p>
    <w:p>
      <w:pPr>
        <w:pStyle w:val="13"/>
        <w:spacing w:beforeLines="50" w:afterLines="50" w:line="240" w:lineRule="atLeast"/>
        <w:outlineLvl w:val="2"/>
        <w:rPr>
          <w:rFonts w:eastAsia="楷体_GB2312"/>
          <w:b/>
        </w:rPr>
      </w:pPr>
      <w:r>
        <w:rPr>
          <w:rFonts w:eastAsia="楷体_GB2312"/>
          <w:b/>
        </w:rPr>
        <w:t>2</w:t>
      </w:r>
      <w:r>
        <w:rPr>
          <w:rFonts w:hint="eastAsia" w:ascii="楷体_GB2312" w:eastAsia="楷体_GB2312" w:cs="楷体_GB2312"/>
          <w:b/>
        </w:rPr>
        <w:t>、项目涉及的指标</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合格投资：</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将</w:t>
      </w:r>
      <w:r>
        <w:rPr>
          <w:rFonts w:eastAsia="楷体_GB2312"/>
          <w:sz w:val="24"/>
        </w:rPr>
        <w:t>“</w:t>
      </w:r>
      <w:r>
        <w:rPr>
          <w:rFonts w:hint="eastAsia" w:ascii="楷体_GB2312" w:eastAsia="楷体_GB2312" w:cs="楷体_GB2312"/>
          <w:sz w:val="24"/>
        </w:rPr>
        <w:t>信托账户</w:t>
      </w:r>
      <w:r>
        <w:rPr>
          <w:rFonts w:eastAsia="楷体_GB2312"/>
          <w:sz w:val="24"/>
        </w:rPr>
        <w:t>”</w:t>
      </w:r>
      <w:r>
        <w:rPr>
          <w:rFonts w:hint="eastAsia" w:ascii="楷体_GB2312" w:eastAsia="楷体_GB2312" w:cs="楷体_GB2312"/>
          <w:sz w:val="24"/>
        </w:rPr>
        <w:t>内的资金在闲置期间按</w:t>
      </w:r>
      <w:r>
        <w:rPr>
          <w:rFonts w:eastAsia="楷体_GB2312"/>
          <w:sz w:val="24"/>
        </w:rPr>
        <w:t>“</w:t>
      </w:r>
      <w:r>
        <w:rPr>
          <w:rFonts w:hint="eastAsia" w:ascii="楷体_GB2312" w:eastAsia="楷体_GB2312" w:cs="楷体_GB2312"/>
          <w:sz w:val="24"/>
        </w:rPr>
        <w:t>《信托合同》</w:t>
      </w:r>
      <w:r>
        <w:rPr>
          <w:rFonts w:eastAsia="楷体_GB2312"/>
          <w:sz w:val="24"/>
        </w:rPr>
        <w:t>”</w:t>
      </w:r>
      <w:r>
        <w:rPr>
          <w:rFonts w:hint="eastAsia" w:ascii="楷体_GB2312" w:eastAsia="楷体_GB2312" w:cs="楷体_GB2312"/>
          <w:sz w:val="24"/>
        </w:rPr>
        <w:t>的约定以【活期存款、定期存款、通知存款或协定存款】的方式存放于</w:t>
      </w:r>
      <w:r>
        <w:rPr>
          <w:rFonts w:eastAsia="楷体_GB2312"/>
          <w:sz w:val="24"/>
        </w:rPr>
        <w:t>“</w:t>
      </w:r>
      <w:r>
        <w:rPr>
          <w:rFonts w:hint="eastAsia" w:ascii="楷体_GB2312" w:eastAsia="楷体_GB2312" w:cs="楷体_GB2312"/>
          <w:sz w:val="24"/>
        </w:rPr>
        <w:t>合格实体</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合格投资</w:t>
      </w:r>
      <w:r>
        <w:rPr>
          <w:rFonts w:eastAsia="楷体_GB2312"/>
          <w:sz w:val="24"/>
        </w:rPr>
        <w:t>”</w:t>
      </w:r>
      <w:r>
        <w:rPr>
          <w:rFonts w:hint="eastAsia" w:ascii="楷体_GB2312" w:eastAsia="楷体_GB2312" w:cs="楷体_GB2312"/>
          <w:sz w:val="24"/>
        </w:rPr>
        <w:t>中相当于当期分配所需的部分应于</w:t>
      </w:r>
      <w:r>
        <w:rPr>
          <w:rFonts w:eastAsia="楷体_GB2312"/>
          <w:sz w:val="24"/>
        </w:rPr>
        <w:t>“</w:t>
      </w:r>
      <w:r>
        <w:rPr>
          <w:rFonts w:hint="eastAsia" w:ascii="楷体_GB2312" w:eastAsia="楷体_GB2312" w:cs="楷体_GB2312"/>
          <w:sz w:val="24"/>
        </w:rPr>
        <w:t>支付日</w:t>
      </w:r>
      <w:r>
        <w:rPr>
          <w:rFonts w:eastAsia="楷体_GB2312"/>
          <w:sz w:val="24"/>
        </w:rPr>
        <w:t>”</w:t>
      </w:r>
      <w:r>
        <w:rPr>
          <w:rFonts w:hint="eastAsia" w:ascii="楷体_GB2312" w:eastAsia="楷体_GB2312" w:cs="楷体_GB2312"/>
          <w:sz w:val="24"/>
        </w:rPr>
        <w:t>前第【】个</w:t>
      </w:r>
      <w:r>
        <w:rPr>
          <w:rFonts w:eastAsia="楷体_GB2312"/>
          <w:sz w:val="24"/>
        </w:rPr>
        <w:t>“</w:t>
      </w:r>
      <w:r>
        <w:rPr>
          <w:rFonts w:hint="eastAsia" w:ascii="楷体_GB2312" w:eastAsia="楷体_GB2312" w:cs="楷体_GB2312"/>
          <w:sz w:val="24"/>
        </w:rPr>
        <w:t>工作日</w:t>
      </w:r>
      <w:r>
        <w:rPr>
          <w:rFonts w:eastAsia="楷体_GB2312"/>
          <w:sz w:val="24"/>
        </w:rPr>
        <w:t>”</w:t>
      </w:r>
      <w:r>
        <w:rPr>
          <w:rFonts w:hint="eastAsia" w:ascii="楷体_GB2312" w:eastAsia="楷体_GB2312" w:cs="楷体_GB2312"/>
          <w:sz w:val="24"/>
        </w:rPr>
        <w:t>【】点前到期，且不必就提前提取支付任何罚金或违约金。</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合格投资的范围</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受托人合格标准：</w:t>
      </w:r>
      <w:r>
        <w:rPr>
          <w:rFonts w:hint="eastAsia" w:ascii="楷体_GB2312" w:eastAsia="楷体_GB2312" w:cs="楷体_GB2312"/>
          <w:sz w:val="24"/>
        </w:rPr>
        <w:t>系指符合以下要求的信托公司：</w:t>
      </w:r>
    </w:p>
    <w:p>
      <w:pPr>
        <w:numPr>
          <w:ilvl w:val="0"/>
          <w:numId w:val="24"/>
        </w:numPr>
        <w:spacing w:beforeLines="50" w:afterLines="50" w:line="240" w:lineRule="atLeast"/>
        <w:rPr>
          <w:rFonts w:eastAsia="楷体_GB2312"/>
          <w:kern w:val="0"/>
          <w:sz w:val="24"/>
        </w:rPr>
      </w:pPr>
      <w:r>
        <w:rPr>
          <w:rFonts w:hint="eastAsia" w:ascii="楷体_GB2312" w:eastAsia="楷体_GB2312" w:cs="楷体_GB2312"/>
          <w:kern w:val="0"/>
          <w:sz w:val="24"/>
        </w:rPr>
        <w:t>具有</w:t>
      </w:r>
      <w:r>
        <w:rPr>
          <w:rFonts w:eastAsia="楷体_GB2312"/>
          <w:kern w:val="0"/>
          <w:sz w:val="24"/>
        </w:rPr>
        <w:t>“</w:t>
      </w:r>
      <w:r>
        <w:rPr>
          <w:rFonts w:hint="eastAsia" w:ascii="楷体_GB2312" w:eastAsia="楷体_GB2312" w:cs="楷体_GB2312"/>
          <w:kern w:val="0"/>
          <w:sz w:val="24"/>
        </w:rPr>
        <w:t>银保监会</w:t>
      </w:r>
      <w:r>
        <w:rPr>
          <w:rFonts w:eastAsia="楷体_GB2312"/>
          <w:kern w:val="0"/>
          <w:sz w:val="24"/>
        </w:rPr>
        <w:t>”</w:t>
      </w:r>
      <w:r>
        <w:rPr>
          <w:rFonts w:hint="eastAsia" w:ascii="楷体_GB2312" w:eastAsia="楷体_GB2312" w:cs="楷体_GB2312"/>
          <w:kern w:val="0"/>
          <w:sz w:val="24"/>
        </w:rPr>
        <w:t>颁发的金融许可证；</w:t>
      </w:r>
    </w:p>
    <w:p>
      <w:pPr>
        <w:numPr>
          <w:ilvl w:val="0"/>
          <w:numId w:val="24"/>
        </w:numPr>
        <w:spacing w:beforeLines="50" w:afterLines="50" w:line="240" w:lineRule="atLeast"/>
        <w:rPr>
          <w:rFonts w:eastAsia="楷体_GB2312"/>
          <w:kern w:val="0"/>
          <w:sz w:val="24"/>
        </w:rPr>
      </w:pPr>
      <w:r>
        <w:rPr>
          <w:rFonts w:eastAsia="楷体_GB2312"/>
          <w:kern w:val="0"/>
          <w:sz w:val="24"/>
        </w:rPr>
        <w:t>“</w:t>
      </w:r>
      <w:r>
        <w:rPr>
          <w:rFonts w:hint="eastAsia" w:ascii="楷体_GB2312" w:eastAsia="楷体_GB2312" w:cs="楷体_GB2312"/>
          <w:kern w:val="0"/>
          <w:sz w:val="24"/>
        </w:rPr>
        <w:t>银保监会</w:t>
      </w:r>
      <w:r>
        <w:rPr>
          <w:rFonts w:eastAsia="楷体_GB2312"/>
          <w:kern w:val="0"/>
          <w:sz w:val="24"/>
        </w:rPr>
        <w:t>”</w:t>
      </w:r>
      <w:r>
        <w:rPr>
          <w:rFonts w:hint="eastAsia" w:ascii="楷体_GB2312" w:eastAsia="楷体_GB2312" w:cs="楷体_GB2312"/>
          <w:kern w:val="0"/>
          <w:sz w:val="24"/>
        </w:rPr>
        <w:t>和</w:t>
      </w:r>
      <w:r>
        <w:rPr>
          <w:rFonts w:eastAsia="楷体_GB2312"/>
          <w:kern w:val="0"/>
          <w:sz w:val="24"/>
        </w:rPr>
        <w:t>“</w:t>
      </w:r>
      <w:r>
        <w:rPr>
          <w:rFonts w:hint="eastAsia" w:ascii="楷体_GB2312" w:eastAsia="楷体_GB2312" w:cs="楷体_GB2312"/>
          <w:kern w:val="0"/>
          <w:sz w:val="24"/>
        </w:rPr>
        <w:t>人民银行</w:t>
      </w:r>
      <w:r>
        <w:rPr>
          <w:rFonts w:eastAsia="楷体_GB2312"/>
          <w:kern w:val="0"/>
          <w:sz w:val="24"/>
        </w:rPr>
        <w:t>”</w:t>
      </w:r>
      <w:r>
        <w:rPr>
          <w:rFonts w:hint="eastAsia" w:ascii="楷体_GB2312" w:eastAsia="楷体_GB2312" w:cs="楷体_GB2312"/>
          <w:kern w:val="0"/>
          <w:sz w:val="24"/>
        </w:rPr>
        <w:t>规定的其他条件；及</w:t>
      </w:r>
    </w:p>
    <w:p>
      <w:pPr>
        <w:numPr>
          <w:ilvl w:val="0"/>
          <w:numId w:val="24"/>
        </w:numPr>
        <w:spacing w:beforeLines="50" w:afterLines="50" w:line="240" w:lineRule="atLeast"/>
        <w:rPr>
          <w:rFonts w:eastAsia="楷体_GB2312"/>
          <w:kern w:val="0"/>
          <w:sz w:val="24"/>
        </w:rPr>
      </w:pPr>
      <w:r>
        <w:rPr>
          <w:rFonts w:hint="eastAsia" w:ascii="楷体_GB2312" w:eastAsia="楷体_GB2312" w:cs="楷体_GB2312"/>
          <w:kern w:val="0"/>
          <w:sz w:val="24"/>
        </w:rPr>
        <w:t>经</w:t>
      </w:r>
      <w:r>
        <w:rPr>
          <w:rFonts w:eastAsia="楷体_GB2312"/>
          <w:kern w:val="0"/>
          <w:sz w:val="24"/>
        </w:rPr>
        <w:t>“</w:t>
      </w:r>
      <w:r>
        <w:rPr>
          <w:rFonts w:hint="eastAsia" w:ascii="楷体_GB2312" w:eastAsia="楷体_GB2312" w:cs="楷体_GB2312"/>
          <w:kern w:val="0"/>
          <w:sz w:val="24"/>
        </w:rPr>
        <w:t>资产支持商业票据持有人会议</w:t>
      </w:r>
      <w:r>
        <w:rPr>
          <w:rFonts w:eastAsia="楷体_GB2312"/>
          <w:kern w:val="0"/>
          <w:sz w:val="24"/>
        </w:rPr>
        <w:t>”</w:t>
      </w:r>
      <w:r>
        <w:rPr>
          <w:rFonts w:hint="eastAsia" w:ascii="楷体_GB2312" w:eastAsia="楷体_GB2312" w:cs="楷体_GB2312"/>
          <w:kern w:val="0"/>
          <w:sz w:val="24"/>
        </w:rPr>
        <w:t>认可（初始</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除外）。</w:t>
      </w:r>
    </w:p>
    <w:p>
      <w:pPr>
        <w:adjustRightInd w:val="0"/>
        <w:spacing w:beforeLines="50" w:afterLines="50" w:line="240" w:lineRule="atLeast"/>
        <w:ind w:left="851"/>
        <w:textAlignment w:val="baseline"/>
        <w:rPr>
          <w:rFonts w:eastAsia="楷体_GB2312"/>
          <w:kern w:val="0"/>
          <w:sz w:val="24"/>
          <w:u w:val="single"/>
        </w:rPr>
      </w:pPr>
      <w:r>
        <w:rPr>
          <w:rFonts w:hint="eastAsia" w:ascii="楷体_GB2312" w:eastAsia="楷体_GB2312" w:cs="楷体_GB2312"/>
          <w:b/>
          <w:i/>
          <w:color w:val="FF0000"/>
          <w:kern w:val="0"/>
          <w:sz w:val="24"/>
          <w:u w:val="single"/>
        </w:rPr>
        <w:t>受托人合格标准的内容</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w:t>
      </w:r>
      <w:bookmarkStart w:id="41" w:name="_Hlk55428355"/>
      <w:r>
        <w:rPr>
          <w:rFonts w:hint="eastAsia" w:ascii="楷体_GB2312" w:eastAsia="楷体_GB2312" w:cs="楷体_GB2312"/>
          <w:b/>
          <w:i/>
          <w:color w:val="FF0000"/>
          <w:sz w:val="24"/>
          <w:u w:val="single"/>
        </w:rPr>
        <w:t>情况</w:t>
      </w:r>
      <w:bookmarkEnd w:id="41"/>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合格实体：</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评级机构</w:t>
      </w:r>
      <w:r>
        <w:rPr>
          <w:rFonts w:eastAsia="楷体_GB2312"/>
          <w:sz w:val="24"/>
        </w:rPr>
        <w:t>”</w:t>
      </w:r>
      <w:r>
        <w:rPr>
          <w:rFonts w:hint="eastAsia" w:ascii="楷体_GB2312" w:eastAsia="楷体_GB2312" w:cs="楷体_GB2312"/>
          <w:sz w:val="24"/>
        </w:rPr>
        <w:t>而言，系指主体长期信用等级高于或等于【】级的金融机构。</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累计违约率：</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内任一时点而言，该时点的资产违约率系指</w:t>
      </w:r>
      <w:r>
        <w:rPr>
          <w:rFonts w:eastAsia="楷体_GB2312"/>
          <w:sz w:val="24"/>
        </w:rPr>
        <w:t>A/</w:t>
      </w:r>
      <w:r>
        <w:rPr>
          <w:rFonts w:hint="eastAsia" w:ascii="楷体_GB2312" w:eastAsia="楷体_GB2312" w:cs="楷体_GB2312"/>
          <w:sz w:val="24"/>
        </w:rPr>
        <w:t>（</w:t>
      </w:r>
      <w:r>
        <w:rPr>
          <w:rFonts w:eastAsia="楷体_GB2312"/>
          <w:sz w:val="24"/>
        </w:rPr>
        <w:t>B+C+D</w:t>
      </w:r>
      <w:r>
        <w:rPr>
          <w:rFonts w:hint="eastAsia" w:ascii="楷体_GB2312" w:eastAsia="楷体_GB2312" w:cs="楷体_GB2312"/>
          <w:sz w:val="24"/>
        </w:rPr>
        <w:t>）所得的百分比，其中，</w:t>
      </w:r>
      <w:r>
        <w:rPr>
          <w:rFonts w:eastAsia="楷体_GB2312"/>
          <w:sz w:val="24"/>
        </w:rPr>
        <w:t>A</w:t>
      </w:r>
      <w:r>
        <w:rPr>
          <w:rFonts w:hint="eastAsia" w:ascii="楷体_GB2312" w:eastAsia="楷体_GB2312" w:cs="楷体_GB2312"/>
          <w:sz w:val="24"/>
        </w:rPr>
        <w:t>为在无重复计算的情况下，自</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起至该时点的期间内所有</w:t>
      </w:r>
      <w:r>
        <w:rPr>
          <w:rFonts w:eastAsia="楷体_GB2312"/>
          <w:sz w:val="24"/>
        </w:rPr>
        <w:t>“</w:t>
      </w:r>
      <w:r>
        <w:rPr>
          <w:rFonts w:hint="eastAsia" w:ascii="楷体_GB2312" w:eastAsia="楷体_GB2312" w:cs="楷体_GB2312"/>
          <w:sz w:val="24"/>
        </w:rPr>
        <w:t>违约资产</w:t>
      </w:r>
      <w:r>
        <w:rPr>
          <w:rFonts w:eastAsia="楷体_GB2312"/>
          <w:sz w:val="24"/>
        </w:rPr>
        <w:t>”</w:t>
      </w:r>
      <w:r>
        <w:rPr>
          <w:rFonts w:hint="eastAsia" w:ascii="楷体_GB2312" w:eastAsia="楷体_GB2312" w:cs="楷体_GB2312"/>
          <w:sz w:val="24"/>
        </w:rPr>
        <w:t>在成为</w:t>
      </w:r>
      <w:r>
        <w:rPr>
          <w:rFonts w:eastAsia="楷体_GB2312"/>
          <w:sz w:val="24"/>
        </w:rPr>
        <w:t>“</w:t>
      </w:r>
      <w:r>
        <w:rPr>
          <w:rFonts w:hint="eastAsia" w:ascii="楷体_GB2312" w:eastAsia="楷体_GB2312" w:cs="楷体_GB2312"/>
          <w:sz w:val="24"/>
        </w:rPr>
        <w:t>违约资产</w:t>
      </w:r>
      <w:r>
        <w:rPr>
          <w:rFonts w:eastAsia="楷体_GB2312"/>
          <w:sz w:val="24"/>
        </w:rPr>
        <w:t>”</w:t>
      </w:r>
      <w:r>
        <w:rPr>
          <w:rFonts w:hint="eastAsia" w:ascii="楷体_GB2312" w:eastAsia="楷体_GB2312" w:cs="楷体_GB2312"/>
          <w:sz w:val="24"/>
        </w:rPr>
        <w:t>时的</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未偿余额</w:t>
      </w:r>
      <w:r>
        <w:rPr>
          <w:rFonts w:eastAsia="楷体_GB2312"/>
          <w:sz w:val="24"/>
        </w:rPr>
        <w:t>”</w:t>
      </w:r>
      <w:r>
        <w:rPr>
          <w:rFonts w:hint="eastAsia" w:ascii="楷体_GB2312" w:eastAsia="楷体_GB2312" w:cs="楷体_GB2312"/>
          <w:sz w:val="24"/>
        </w:rPr>
        <w:t>之和；</w:t>
      </w:r>
      <w:r>
        <w:rPr>
          <w:rFonts w:eastAsia="楷体_GB2312"/>
          <w:sz w:val="24"/>
        </w:rPr>
        <w:t>B</w:t>
      </w:r>
      <w:r>
        <w:rPr>
          <w:rFonts w:hint="eastAsia" w:ascii="楷体_GB2312" w:eastAsia="楷体_GB2312" w:cs="楷体_GB2312"/>
          <w:sz w:val="24"/>
        </w:rPr>
        <w:t>为全部</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在相应</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未偿金额</w:t>
      </w:r>
      <w:r>
        <w:rPr>
          <w:rFonts w:eastAsia="楷体_GB2312"/>
          <w:sz w:val="24"/>
        </w:rPr>
        <w:t>”</w:t>
      </w:r>
      <w:r>
        <w:rPr>
          <w:rFonts w:hint="eastAsia" w:ascii="楷体_GB2312" w:eastAsia="楷体_GB2312" w:cs="楷体_GB2312"/>
          <w:sz w:val="24"/>
        </w:rPr>
        <w:t>之和；</w:t>
      </w:r>
      <w:r>
        <w:rPr>
          <w:rFonts w:eastAsia="楷体_GB2312"/>
          <w:sz w:val="24"/>
        </w:rPr>
        <w:t>C</w:t>
      </w:r>
      <w:r>
        <w:rPr>
          <w:rFonts w:hint="eastAsia" w:ascii="楷体_GB2312" w:eastAsia="楷体_GB2312" w:cs="楷体_GB2312"/>
          <w:sz w:val="24"/>
        </w:rPr>
        <w:t>为全部</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在相应</w:t>
      </w:r>
      <w:r>
        <w:rPr>
          <w:rFonts w:eastAsia="楷体_GB2312"/>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未偿金额</w:t>
      </w:r>
      <w:r>
        <w:rPr>
          <w:rFonts w:eastAsia="楷体_GB2312"/>
          <w:sz w:val="24"/>
        </w:rPr>
        <w:t>”</w:t>
      </w:r>
      <w:r>
        <w:rPr>
          <w:rFonts w:hint="eastAsia" w:ascii="楷体_GB2312" w:eastAsia="楷体_GB2312" w:cs="楷体_GB2312"/>
          <w:sz w:val="24"/>
        </w:rPr>
        <w:t>之和；</w:t>
      </w:r>
      <w:r>
        <w:rPr>
          <w:rFonts w:eastAsia="楷体_GB2312"/>
          <w:sz w:val="24"/>
        </w:rPr>
        <w:t>D</w:t>
      </w:r>
      <w:r>
        <w:rPr>
          <w:rFonts w:hint="eastAsia" w:ascii="楷体_GB2312" w:eastAsia="楷体_GB2312" w:cs="楷体_GB2312"/>
          <w:sz w:val="24"/>
        </w:rPr>
        <w:t>为全部</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在相应</w:t>
      </w:r>
      <w:r>
        <w:rPr>
          <w:rFonts w:eastAsia="楷体_GB2312"/>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未偿金额</w:t>
      </w:r>
      <w:r>
        <w:rPr>
          <w:rFonts w:eastAsia="楷体_GB2312"/>
          <w:sz w:val="24"/>
        </w:rPr>
        <w:t>”</w:t>
      </w:r>
      <w:r>
        <w:rPr>
          <w:rFonts w:hint="eastAsia" w:ascii="楷体_GB2312" w:eastAsia="楷体_GB2312" w:cs="楷体_GB2312"/>
          <w:sz w:val="24"/>
        </w:rPr>
        <w:t>之和。</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累计违约率的计算公式</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未偿金额：</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内某一时点的某一笔</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而言，系指</w:t>
      </w:r>
      <w:r>
        <w:rPr>
          <w:rFonts w:eastAsia="楷体_GB2312"/>
          <w:sz w:val="24"/>
        </w:rPr>
        <w:t>A-B</w:t>
      </w:r>
      <w:r>
        <w:rPr>
          <w:rFonts w:hint="eastAsia" w:ascii="楷体_GB2312" w:eastAsia="楷体_GB2312" w:cs="楷体_GB2312"/>
          <w:sz w:val="24"/>
        </w:rPr>
        <w:t>：其中，</w:t>
      </w:r>
      <w:r>
        <w:rPr>
          <w:rFonts w:eastAsia="楷体_GB2312"/>
          <w:sz w:val="24"/>
        </w:rPr>
        <w:t>A</w:t>
      </w:r>
      <w:r>
        <w:rPr>
          <w:rFonts w:hint="eastAsia" w:ascii="楷体_GB2312" w:eastAsia="楷体_GB2312" w:cs="楷体_GB2312"/>
          <w:sz w:val="24"/>
        </w:rPr>
        <w:t>指在</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相应</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未偿付的金额；</w:t>
      </w:r>
      <w:r>
        <w:rPr>
          <w:rFonts w:eastAsia="楷体_GB2312"/>
          <w:sz w:val="24"/>
        </w:rPr>
        <w:t>B</w:t>
      </w:r>
      <w:r>
        <w:rPr>
          <w:rFonts w:hint="eastAsia" w:ascii="楷体_GB2312" w:eastAsia="楷体_GB2312" w:cs="楷体_GB2312"/>
          <w:sz w:val="24"/>
        </w:rPr>
        <w:t>指自</w:t>
      </w:r>
      <w:r>
        <w:rPr>
          <w:rFonts w:eastAsia="楷体_GB2312"/>
          <w:sz w:val="24"/>
        </w:rPr>
        <w:t>“</w:t>
      </w:r>
      <w:r>
        <w:rPr>
          <w:rFonts w:hint="eastAsia" w:ascii="楷体_GB2312" w:eastAsia="楷体_GB2312" w:cs="楷体_GB2312"/>
          <w:sz w:val="24"/>
        </w:rPr>
        <w:t>初始起算日</w:t>
      </w:r>
      <w:r>
        <w:rPr>
          <w:rFonts w:eastAsia="楷体_GB2312"/>
          <w:sz w:val="24"/>
        </w:rPr>
        <w:t>”</w:t>
      </w:r>
      <w:r>
        <w:rPr>
          <w:rFonts w:hint="eastAsia" w:ascii="楷体_GB2312" w:eastAsia="楷体_GB2312" w:cs="楷体_GB2312"/>
          <w:sz w:val="24"/>
        </w:rPr>
        <w:t>起至该时点之前，</w:t>
      </w:r>
      <w:r>
        <w:rPr>
          <w:rFonts w:eastAsia="楷体_GB2312"/>
          <w:sz w:val="24"/>
        </w:rPr>
        <w:t>“</w:t>
      </w:r>
      <w:r>
        <w:rPr>
          <w:rFonts w:hint="eastAsia" w:ascii="楷体_GB2312" w:eastAsia="楷体_GB2312" w:cs="楷体_GB2312"/>
          <w:sz w:val="24"/>
        </w:rPr>
        <w:t>【债务人】</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【保证人】</w:t>
      </w:r>
      <w:r>
        <w:rPr>
          <w:rFonts w:eastAsia="楷体_GB2312"/>
          <w:sz w:val="24"/>
        </w:rPr>
        <w:t>”</w:t>
      </w:r>
      <w:r>
        <w:rPr>
          <w:rFonts w:hint="eastAsia" w:ascii="楷体_GB2312" w:eastAsia="楷体_GB2312" w:cs="楷体_GB2312"/>
          <w:sz w:val="24"/>
        </w:rPr>
        <w:t>（如有）就该笔</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已经偿还的</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内某一时点的某一笔</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而言，系指</w:t>
      </w:r>
      <w:r>
        <w:rPr>
          <w:rFonts w:eastAsia="楷体_GB2312"/>
          <w:sz w:val="24"/>
        </w:rPr>
        <w:t>A-B</w:t>
      </w:r>
      <w:r>
        <w:rPr>
          <w:rFonts w:hint="eastAsia" w:ascii="楷体_GB2312" w:eastAsia="楷体_GB2312" w:cs="楷体_GB2312"/>
          <w:sz w:val="24"/>
        </w:rPr>
        <w:t>：其中，</w:t>
      </w:r>
      <w:r>
        <w:rPr>
          <w:rFonts w:eastAsia="楷体_GB2312"/>
          <w:sz w:val="24"/>
        </w:rPr>
        <w:t>A</w:t>
      </w:r>
      <w:r>
        <w:rPr>
          <w:rFonts w:hint="eastAsia" w:ascii="楷体_GB2312" w:eastAsia="楷体_GB2312" w:cs="楷体_GB2312"/>
          <w:sz w:val="24"/>
        </w:rPr>
        <w:t>指在</w:t>
      </w:r>
      <w:r>
        <w:rPr>
          <w:rFonts w:eastAsia="楷体_GB2312"/>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相应</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未偿付的金额；</w:t>
      </w:r>
      <w:r>
        <w:rPr>
          <w:rFonts w:eastAsia="楷体_GB2312"/>
          <w:sz w:val="24"/>
        </w:rPr>
        <w:t>B</w:t>
      </w:r>
      <w:r>
        <w:rPr>
          <w:rFonts w:hint="eastAsia" w:ascii="楷体_GB2312" w:eastAsia="楷体_GB2312" w:cs="楷体_GB2312"/>
          <w:sz w:val="24"/>
        </w:rPr>
        <w:t>指自</w:t>
      </w:r>
      <w:r>
        <w:rPr>
          <w:rFonts w:eastAsia="楷体_GB2312"/>
          <w:sz w:val="24"/>
        </w:rPr>
        <w:t>“</w:t>
      </w:r>
      <w:r>
        <w:rPr>
          <w:rFonts w:hint="eastAsia" w:ascii="楷体_GB2312" w:eastAsia="楷体_GB2312" w:cs="楷体_GB2312"/>
          <w:sz w:val="24"/>
        </w:rPr>
        <w:t>后续起算日</w:t>
      </w:r>
      <w:r>
        <w:rPr>
          <w:rFonts w:eastAsia="楷体_GB2312"/>
          <w:sz w:val="24"/>
        </w:rPr>
        <w:t>”</w:t>
      </w:r>
      <w:r>
        <w:rPr>
          <w:rFonts w:hint="eastAsia" w:ascii="楷体_GB2312" w:eastAsia="楷体_GB2312" w:cs="楷体_GB2312"/>
          <w:sz w:val="24"/>
        </w:rPr>
        <w:t>起至该时点之前，</w:t>
      </w:r>
      <w:r>
        <w:rPr>
          <w:rFonts w:eastAsia="楷体_GB2312"/>
          <w:sz w:val="24"/>
        </w:rPr>
        <w:t>“</w:t>
      </w:r>
      <w:r>
        <w:rPr>
          <w:rFonts w:hint="eastAsia" w:ascii="楷体_GB2312" w:eastAsia="楷体_GB2312" w:cs="楷体_GB2312"/>
          <w:sz w:val="24"/>
        </w:rPr>
        <w:t>【债务人】</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【保证人】</w:t>
      </w:r>
      <w:r>
        <w:rPr>
          <w:rFonts w:eastAsia="楷体_GB2312"/>
          <w:sz w:val="24"/>
        </w:rPr>
        <w:t>”</w:t>
      </w:r>
      <w:r>
        <w:rPr>
          <w:rFonts w:hint="eastAsia" w:ascii="楷体_GB2312" w:eastAsia="楷体_GB2312" w:cs="楷体_GB2312"/>
          <w:sz w:val="24"/>
        </w:rPr>
        <w:t>（如有）就该笔</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已经偿还的</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；就</w:t>
      </w:r>
      <w:r>
        <w:rPr>
          <w:rFonts w:eastAsia="楷体_GB2312"/>
          <w:sz w:val="24"/>
        </w:rPr>
        <w:t>“</w:t>
      </w:r>
      <w:r>
        <w:rPr>
          <w:rFonts w:hint="eastAsia" w:ascii="楷体_GB2312" w:eastAsia="楷体_GB2312" w:cs="楷体_GB2312"/>
          <w:sz w:val="24"/>
        </w:rPr>
        <w:t>信托期限</w:t>
      </w:r>
      <w:r>
        <w:rPr>
          <w:rFonts w:eastAsia="楷体_GB2312"/>
          <w:sz w:val="24"/>
        </w:rPr>
        <w:t>”</w:t>
      </w:r>
      <w:r>
        <w:rPr>
          <w:rFonts w:hint="eastAsia" w:ascii="楷体_GB2312" w:eastAsia="楷体_GB2312" w:cs="楷体_GB2312"/>
          <w:sz w:val="24"/>
        </w:rPr>
        <w:t>内某一时点的某一笔</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而言，系指</w:t>
      </w:r>
      <w:r>
        <w:rPr>
          <w:rFonts w:eastAsia="楷体_GB2312"/>
          <w:sz w:val="24"/>
        </w:rPr>
        <w:t>A-B</w:t>
      </w:r>
      <w:r>
        <w:rPr>
          <w:rFonts w:hint="eastAsia" w:ascii="楷体_GB2312" w:eastAsia="楷体_GB2312" w:cs="楷体_GB2312"/>
          <w:sz w:val="24"/>
        </w:rPr>
        <w:t>：其中，</w:t>
      </w:r>
      <w:r>
        <w:rPr>
          <w:rFonts w:eastAsia="楷体_GB2312"/>
          <w:sz w:val="24"/>
        </w:rPr>
        <w:t>A</w:t>
      </w:r>
      <w:r>
        <w:rPr>
          <w:rFonts w:hint="eastAsia" w:ascii="楷体_GB2312" w:eastAsia="楷体_GB2312" w:cs="楷体_GB2312"/>
          <w:sz w:val="24"/>
        </w:rPr>
        <w:t>指在</w:t>
      </w:r>
      <w:r>
        <w:rPr>
          <w:rFonts w:eastAsia="楷体_GB2312"/>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相应</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未偿付的金额；</w:t>
      </w:r>
      <w:r>
        <w:rPr>
          <w:rFonts w:eastAsia="楷体_GB2312"/>
          <w:sz w:val="24"/>
        </w:rPr>
        <w:t>B</w:t>
      </w:r>
      <w:r>
        <w:rPr>
          <w:rFonts w:hint="eastAsia" w:ascii="楷体_GB2312" w:eastAsia="楷体_GB2312" w:cs="楷体_GB2312"/>
          <w:sz w:val="24"/>
        </w:rPr>
        <w:t>指自</w:t>
      </w:r>
      <w:r>
        <w:rPr>
          <w:rFonts w:eastAsia="楷体_GB2312"/>
          <w:sz w:val="24"/>
        </w:rPr>
        <w:t>“</w:t>
      </w:r>
      <w:r>
        <w:rPr>
          <w:rFonts w:hint="eastAsia" w:ascii="楷体_GB2312" w:eastAsia="楷体_GB2312" w:cs="楷体_GB2312"/>
          <w:sz w:val="24"/>
        </w:rPr>
        <w:t>循环购买起算日</w:t>
      </w:r>
      <w:r>
        <w:rPr>
          <w:rFonts w:eastAsia="楷体_GB2312"/>
          <w:sz w:val="24"/>
        </w:rPr>
        <w:t>”</w:t>
      </w:r>
      <w:r>
        <w:rPr>
          <w:rFonts w:hint="eastAsia" w:ascii="楷体_GB2312" w:eastAsia="楷体_GB2312" w:cs="楷体_GB2312"/>
          <w:sz w:val="24"/>
        </w:rPr>
        <w:t>起至该时点之前，</w:t>
      </w:r>
      <w:r>
        <w:rPr>
          <w:rFonts w:eastAsia="楷体_GB2312"/>
          <w:sz w:val="24"/>
        </w:rPr>
        <w:t>“</w:t>
      </w:r>
      <w:r>
        <w:rPr>
          <w:rFonts w:hint="eastAsia" w:ascii="楷体_GB2312" w:eastAsia="楷体_GB2312" w:cs="楷体_GB2312"/>
          <w:sz w:val="24"/>
        </w:rPr>
        <w:t>【债务人】</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【保证人】</w:t>
      </w:r>
      <w:r>
        <w:rPr>
          <w:rFonts w:eastAsia="楷体_GB2312"/>
          <w:sz w:val="24"/>
        </w:rPr>
        <w:t>”</w:t>
      </w:r>
      <w:r>
        <w:rPr>
          <w:rFonts w:hint="eastAsia" w:ascii="楷体_GB2312" w:eastAsia="楷体_GB2312" w:cs="楷体_GB2312"/>
          <w:sz w:val="24"/>
        </w:rPr>
        <w:t>（如有）就该笔</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已经偿还的</w:t>
      </w:r>
      <w:r>
        <w:rPr>
          <w:rFonts w:eastAsia="楷体_GB2312"/>
          <w:sz w:val="24"/>
        </w:rPr>
        <w:t>“</w:t>
      </w:r>
      <w:r>
        <w:rPr>
          <w:rFonts w:hint="eastAsia" w:ascii="楷体_GB2312" w:eastAsia="楷体_GB2312" w:cs="楷体_GB2312"/>
          <w:sz w:val="24"/>
        </w:rPr>
        <w:t>【基础资产类型】</w:t>
      </w:r>
      <w:r>
        <w:rPr>
          <w:rFonts w:eastAsia="楷体_GB2312"/>
          <w:sz w:val="24"/>
        </w:rPr>
        <w:t>”</w:t>
      </w:r>
      <w:r>
        <w:rPr>
          <w:rFonts w:hint="eastAsia" w:ascii="楷体_GB2312" w:eastAsia="楷体_GB2312" w:cs="楷体_GB2312"/>
          <w:sz w:val="24"/>
        </w:rPr>
        <w:t>。</w:t>
      </w:r>
    </w:p>
    <w:p>
      <w:pPr>
        <w:adjustRightInd w:val="0"/>
        <w:spacing w:beforeLines="50" w:afterLines="50" w:line="240" w:lineRule="atLeast"/>
        <w:ind w:left="851"/>
        <w:textAlignment w:val="baseline"/>
        <w:rPr>
          <w:rFonts w:eastAsia="楷体_GB2312"/>
          <w:b/>
          <w:i/>
          <w:color w:val="FF0000"/>
          <w:kern w:val="0"/>
          <w:sz w:val="24"/>
          <w:u w:val="single"/>
        </w:rPr>
      </w:pPr>
      <w:r>
        <w:rPr>
          <w:rFonts w:hint="eastAsia" w:ascii="楷体_GB2312" w:eastAsia="楷体_GB2312" w:cs="楷体_GB2312"/>
          <w:b/>
          <w:i/>
          <w:color w:val="FF0000"/>
          <w:kern w:val="0"/>
          <w:sz w:val="24"/>
          <w:u w:val="single"/>
        </w:rPr>
        <w:t>未偿金额的定义</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pStyle w:val="13"/>
        <w:spacing w:beforeLines="50" w:afterLines="50" w:line="240" w:lineRule="atLeast"/>
        <w:outlineLvl w:val="1"/>
        <w:rPr>
          <w:rFonts w:eastAsia="楷体_GB2312"/>
          <w:b/>
        </w:rPr>
      </w:pPr>
      <w:r>
        <w:rPr>
          <w:rFonts w:hint="eastAsia" w:ascii="楷体_GB2312" w:eastAsia="楷体_GB2312" w:cs="楷体_GB2312"/>
          <w:b/>
        </w:rPr>
        <w:t>（六）发行资产支持商业票据所涉及的定义</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资产支持商业票据募集资金</w:t>
      </w:r>
      <w:r>
        <w:rPr>
          <w:rFonts w:eastAsia="楷体_GB2312"/>
          <w:b/>
          <w:sz w:val="24"/>
        </w:rPr>
        <w:t>/</w:t>
      </w:r>
      <w:r>
        <w:rPr>
          <w:rFonts w:hint="eastAsia" w:ascii="楷体_GB2312" w:eastAsia="楷体_GB2312" w:cs="楷体_GB2312"/>
          <w:b/>
          <w:sz w:val="24"/>
        </w:rPr>
        <w:t>募集资金：</w:t>
      </w:r>
      <w:r>
        <w:rPr>
          <w:rFonts w:hint="eastAsia" w:ascii="楷体_GB2312" w:eastAsia="楷体_GB2312" w:cs="楷体_GB2312"/>
          <w:sz w:val="24"/>
        </w:rPr>
        <w:t>系指截至各期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对应的</w:t>
      </w:r>
      <w:r>
        <w:rPr>
          <w:rFonts w:eastAsia="楷体_GB2312"/>
          <w:sz w:val="24"/>
        </w:rPr>
        <w:t>“</w:t>
      </w:r>
      <w:r>
        <w:rPr>
          <w:rFonts w:hint="eastAsia" w:ascii="楷体_GB2312" w:eastAsia="楷体_GB2312" w:cs="楷体_GB2312"/>
          <w:sz w:val="24"/>
        </w:rPr>
        <w:t>缴款日</w:t>
      </w:r>
      <w:r>
        <w:rPr>
          <w:rFonts w:eastAsia="楷体_GB2312"/>
          <w:sz w:val="24"/>
        </w:rPr>
        <w:t>”</w:t>
      </w:r>
      <w:r>
        <w:rPr>
          <w:rFonts w:hint="eastAsia" w:ascii="楷体_GB2312" w:eastAsia="楷体_GB2312" w:cs="楷体_GB2312"/>
          <w:sz w:val="24"/>
        </w:rPr>
        <w:t>，通过</w:t>
      </w:r>
      <w:r>
        <w:rPr>
          <w:rFonts w:eastAsia="楷体_GB2312"/>
          <w:sz w:val="24"/>
        </w:rPr>
        <w:t>“</w:t>
      </w:r>
      <w:r>
        <w:rPr>
          <w:rFonts w:hint="eastAsia" w:ascii="楷体_GB2312" w:eastAsia="楷体_GB2312" w:cs="楷体_GB2312"/>
          <w:sz w:val="24"/>
        </w:rPr>
        <w:t>发行载体</w:t>
      </w:r>
      <w:r>
        <w:rPr>
          <w:rFonts w:eastAsia="楷体_GB2312"/>
          <w:sz w:val="24"/>
        </w:rPr>
        <w:t>”</w:t>
      </w:r>
      <w:r>
        <w:rPr>
          <w:rFonts w:hint="eastAsia" w:ascii="楷体_GB2312" w:eastAsia="楷体_GB2312" w:cs="楷体_GB2312"/>
          <w:sz w:val="24"/>
        </w:rPr>
        <w:t>发行该期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而募集的资金。</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发行文件：</w:t>
      </w:r>
      <w:r>
        <w:rPr>
          <w:rFonts w:hint="eastAsia" w:ascii="楷体_GB2312" w:eastAsia="楷体_GB2312" w:cs="楷体_GB2312"/>
          <w:sz w:val="24"/>
        </w:rPr>
        <w:t>系指在发行过程中必需的文件、材料或其他资料及其所修改和补充文件，包括但不限于：注册通知书、</w:t>
      </w:r>
      <w:r>
        <w:rPr>
          <w:rFonts w:eastAsia="楷体_GB2312"/>
          <w:sz w:val="24"/>
        </w:rPr>
        <w:t>“</w:t>
      </w:r>
      <w:r>
        <w:rPr>
          <w:rFonts w:hint="eastAsia" w:ascii="楷体_GB2312" w:eastAsia="楷体_GB2312" w:cs="楷体_GB2312"/>
          <w:sz w:val="24"/>
        </w:rPr>
        <w:t>【《募集说明书》</w:t>
      </w:r>
      <w:r>
        <w:rPr>
          <w:rFonts w:eastAsia="楷体_GB2312"/>
          <w:sz w:val="24"/>
        </w:rPr>
        <w:t>/</w:t>
      </w:r>
      <w:r>
        <w:rPr>
          <w:rFonts w:hint="eastAsia" w:ascii="楷体_GB2312" w:eastAsia="楷体_GB2312" w:cs="楷体_GB2312"/>
          <w:sz w:val="24"/>
        </w:rPr>
        <w:t>《定向募集说明书》</w:t>
      </w:r>
      <w:r>
        <w:rPr>
          <w:rFonts w:eastAsia="楷体_GB2312"/>
          <w:sz w:val="24"/>
        </w:rPr>
        <w:t>/</w:t>
      </w:r>
      <w:r>
        <w:rPr>
          <w:rFonts w:hint="eastAsia" w:ascii="楷体_GB2312" w:eastAsia="楷体_GB2312" w:cs="楷体_GB2312"/>
          <w:sz w:val="24"/>
        </w:rPr>
        <w:t>《定向发行协议》】</w:t>
      </w:r>
      <w:r>
        <w:rPr>
          <w:rFonts w:eastAsia="楷体_GB2312"/>
          <w:sz w:val="24"/>
        </w:rPr>
        <w:t>”</w:t>
      </w:r>
      <w:r>
        <w:rPr>
          <w:rFonts w:hint="eastAsia" w:ascii="楷体_GB2312" w:eastAsia="楷体_GB2312" w:cs="楷体_GB2312"/>
          <w:sz w:val="24"/>
        </w:rPr>
        <w:t>、法律意见书、信用评级报告（如有）、及其他发行环节中需要【公开</w:t>
      </w:r>
      <w:r>
        <w:rPr>
          <w:rFonts w:eastAsia="楷体_GB2312"/>
          <w:sz w:val="24"/>
        </w:rPr>
        <w:t>/</w:t>
      </w:r>
      <w:r>
        <w:rPr>
          <w:rFonts w:hint="eastAsia" w:ascii="楷体_GB2312" w:eastAsia="楷体_GB2312" w:cs="楷体_GB2312"/>
          <w:sz w:val="24"/>
        </w:rPr>
        <w:t>定向】披露的文件。</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簿记建档：</w:t>
      </w:r>
      <w:r>
        <w:rPr>
          <w:rFonts w:hint="eastAsia" w:ascii="楷体_GB2312" w:eastAsia="楷体_GB2312" w:cs="楷体_GB2312"/>
          <w:sz w:val="24"/>
        </w:rPr>
        <w:t>系指由</w:t>
      </w:r>
      <w:r>
        <w:rPr>
          <w:rFonts w:eastAsia="楷体_GB2312"/>
          <w:sz w:val="24"/>
        </w:rPr>
        <w:t>“</w:t>
      </w:r>
      <w:r>
        <w:rPr>
          <w:rFonts w:hint="eastAsia" w:ascii="楷体_GB2312" w:eastAsia="楷体_GB2312" w:cs="楷体_GB2312"/>
          <w:sz w:val="24"/>
        </w:rPr>
        <w:t>簿记管理人</w:t>
      </w:r>
      <w:r>
        <w:rPr>
          <w:rFonts w:eastAsia="楷体_GB2312"/>
          <w:sz w:val="24"/>
        </w:rPr>
        <w:t>”</w:t>
      </w:r>
      <w:r>
        <w:rPr>
          <w:rFonts w:hint="eastAsia" w:ascii="楷体_GB2312" w:eastAsia="楷体_GB2312" w:cs="楷体_GB2312"/>
          <w:sz w:val="24"/>
        </w:rPr>
        <w:t>记录投资者认购数量和</w:t>
      </w:r>
      <w:r>
        <w:rPr>
          <w:rFonts w:eastAsia="楷体_GB2312"/>
          <w:sz w:val="24"/>
        </w:rPr>
        <w:t>/</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优先级资产支持商业票据</w:t>
      </w:r>
      <w:r>
        <w:rPr>
          <w:rFonts w:eastAsia="楷体_GB2312"/>
          <w:sz w:val="24"/>
        </w:rPr>
        <w:t>”</w:t>
      </w:r>
      <w:r>
        <w:rPr>
          <w:rFonts w:hint="eastAsia" w:ascii="楷体_GB2312" w:eastAsia="楷体_GB2312" w:cs="楷体_GB2312"/>
          <w:sz w:val="24"/>
        </w:rPr>
        <w:t>利率水平的意愿并按约定的定价和配售方式确定最终发行利率并进行配售的程序。</w:t>
      </w:r>
    </w:p>
    <w:p>
      <w:pPr>
        <w:adjustRightInd w:val="0"/>
        <w:spacing w:beforeLines="50" w:afterLines="50" w:line="240" w:lineRule="atLeast"/>
        <w:ind w:left="851"/>
        <w:textAlignment w:val="baseline"/>
        <w:rPr>
          <w:rFonts w:eastAsia="楷体_GB2312"/>
          <w:sz w:val="24"/>
          <w:u w:val="single"/>
        </w:rPr>
      </w:pPr>
      <w:r>
        <w:rPr>
          <w:rFonts w:hint="eastAsia" w:ascii="楷体_GB2312" w:eastAsia="楷体_GB2312" w:cs="楷体_GB2312"/>
          <w:b/>
          <w:i/>
          <w:color w:val="FF0000"/>
          <w:kern w:val="0"/>
          <w:sz w:val="24"/>
          <w:u w:val="single"/>
        </w:rPr>
        <w:t>次级资产支持商业票据是否簿记建档</w:t>
      </w:r>
      <w:r>
        <w:rPr>
          <w:rFonts w:hint="eastAsia" w:ascii="楷体_GB2312" w:eastAsia="楷体_GB2312" w:cs="楷体_GB2312"/>
          <w:b/>
          <w:i/>
          <w:color w:val="FF0000"/>
          <w:kern w:val="0"/>
          <w:sz w:val="24"/>
          <w:u w:val="single"/>
          <w:lang w:val="en-US" w:eastAsia="zh-CN"/>
        </w:rPr>
        <w:t>应</w:t>
      </w:r>
      <w:r>
        <w:rPr>
          <w:rFonts w:hint="eastAsia" w:ascii="楷体_GB2312" w:eastAsia="楷体_GB2312" w:cs="楷体_GB2312"/>
          <w:b/>
          <w:i/>
          <w:color w:val="FF0000"/>
          <w:kern w:val="0"/>
          <w:sz w:val="24"/>
          <w:u w:val="single"/>
        </w:rPr>
        <w:t>根据</w:t>
      </w:r>
      <w:r>
        <w:rPr>
          <w:rFonts w:hint="eastAsia" w:ascii="楷体_GB2312" w:eastAsia="楷体_GB2312" w:cs="楷体_GB2312"/>
          <w:b/>
          <w:i/>
          <w:color w:val="FF0000"/>
          <w:sz w:val="24"/>
          <w:u w:val="single"/>
        </w:rPr>
        <w:t>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kern w:val="0"/>
          <w:sz w:val="24"/>
          <w:u w:val="single"/>
        </w:rPr>
        <w:t>。</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发行成功：</w:t>
      </w:r>
      <w:r>
        <w:rPr>
          <w:rFonts w:hint="eastAsia" w:ascii="楷体_GB2312" w:eastAsia="楷体_GB2312" w:cs="楷体_GB2312"/>
          <w:sz w:val="24"/>
        </w:rPr>
        <w:t>就某一期</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的发行而言，系指当期发行的</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全部发行完毕且相应认购资金已全额缴款至</w:t>
      </w:r>
      <w:r>
        <w:rPr>
          <w:rFonts w:eastAsia="楷体_GB2312"/>
          <w:sz w:val="24"/>
        </w:rPr>
        <w:t>“</w:t>
      </w:r>
      <w:r>
        <w:rPr>
          <w:rFonts w:hint="eastAsia" w:ascii="楷体_GB2312" w:eastAsia="楷体_GB2312" w:cs="楷体_GB2312"/>
          <w:sz w:val="24"/>
        </w:rPr>
        <w:t>发行收入缴款账户</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自持的</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除外）。反之，视为发行不成功。</w:t>
      </w:r>
    </w:p>
    <w:p>
      <w:pPr>
        <w:pStyle w:val="13"/>
        <w:spacing w:beforeLines="50" w:afterLines="50" w:line="240" w:lineRule="atLeast"/>
        <w:outlineLvl w:val="1"/>
        <w:rPr>
          <w:rFonts w:eastAsia="楷体_GB2312"/>
          <w:b/>
        </w:rPr>
      </w:pPr>
      <w:r>
        <w:rPr>
          <w:rFonts w:hint="eastAsia" w:ascii="楷体_GB2312" w:eastAsia="楷体_GB2312" w:cs="楷体_GB2312"/>
          <w:b/>
        </w:rPr>
        <w:t>（七）与信托有关的费用和报酬</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sz w:val="24"/>
        </w:rPr>
        <w:t>执行费用：</w:t>
      </w:r>
      <w:r>
        <w:rPr>
          <w:rFonts w:hint="eastAsia" w:ascii="楷体_GB2312" w:eastAsia="楷体_GB2312" w:cs="楷体_GB2312"/>
          <w:kern w:val="0"/>
          <w:sz w:val="24"/>
        </w:rPr>
        <w:t>系指与</w:t>
      </w:r>
      <w:r>
        <w:rPr>
          <w:rFonts w:eastAsia="楷体_GB2312"/>
          <w:kern w:val="0"/>
          <w:sz w:val="24"/>
        </w:rPr>
        <w:t>“</w:t>
      </w:r>
      <w:r>
        <w:rPr>
          <w:rFonts w:hint="eastAsia" w:ascii="楷体_GB2312" w:eastAsia="楷体_GB2312" w:cs="楷体_GB2312"/>
          <w:kern w:val="0"/>
          <w:sz w:val="24"/>
        </w:rPr>
        <w:t>资产</w:t>
      </w:r>
      <w:r>
        <w:rPr>
          <w:rFonts w:eastAsia="楷体_GB2312"/>
          <w:kern w:val="0"/>
          <w:sz w:val="24"/>
        </w:rPr>
        <w:t>”</w:t>
      </w:r>
      <w:r>
        <w:rPr>
          <w:rFonts w:hint="eastAsia" w:ascii="楷体_GB2312" w:eastAsia="楷体_GB2312" w:cs="楷体_GB2312"/>
          <w:kern w:val="0"/>
          <w:sz w:val="24"/>
        </w:rPr>
        <w:t>相关且为维护</w:t>
      </w:r>
      <w:r>
        <w:rPr>
          <w:rFonts w:eastAsia="楷体_GB2312"/>
          <w:kern w:val="0"/>
          <w:sz w:val="24"/>
        </w:rPr>
        <w:t>“</w:t>
      </w:r>
      <w:r>
        <w:rPr>
          <w:rFonts w:hint="eastAsia" w:ascii="楷体_GB2312" w:eastAsia="楷体_GB2312" w:cs="楷体_GB2312"/>
          <w:kern w:val="0"/>
          <w:sz w:val="24"/>
        </w:rPr>
        <w:t>信托</w:t>
      </w:r>
      <w:r>
        <w:rPr>
          <w:rFonts w:eastAsia="楷体_GB2312"/>
          <w:kern w:val="0"/>
          <w:sz w:val="24"/>
        </w:rPr>
        <w:t>”</w:t>
      </w:r>
      <w:r>
        <w:rPr>
          <w:rFonts w:hint="eastAsia" w:ascii="楷体_GB2312" w:eastAsia="楷体_GB2312" w:cs="楷体_GB2312"/>
          <w:kern w:val="0"/>
          <w:sz w:val="24"/>
        </w:rPr>
        <w:t>的利益之目的而进行的诉讼或仲裁等法律程序相关的费用，包括但不限于诉讼费、仲裁费、财产保全费、律师费和执行费，以及因诉讼或仲裁之需要而委托中介机构或司法机构进行鉴定、评估等而产生的费用。</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接受</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委托对</w:t>
      </w:r>
      <w:r>
        <w:rPr>
          <w:rFonts w:eastAsia="楷体_GB2312"/>
          <w:kern w:val="0"/>
          <w:sz w:val="24"/>
        </w:rPr>
        <w:t>“</w:t>
      </w:r>
      <w:r>
        <w:rPr>
          <w:rFonts w:hint="eastAsia" w:ascii="楷体_GB2312" w:eastAsia="楷体_GB2312" w:cs="楷体_GB2312"/>
          <w:kern w:val="0"/>
          <w:sz w:val="24"/>
        </w:rPr>
        <w:t>【债务人】</w:t>
      </w:r>
      <w:r>
        <w:rPr>
          <w:rFonts w:eastAsia="楷体_GB2312"/>
          <w:kern w:val="0"/>
          <w:sz w:val="24"/>
        </w:rPr>
        <w:t>”</w:t>
      </w:r>
      <w:r>
        <w:rPr>
          <w:rFonts w:hint="eastAsia" w:ascii="楷体_GB2312" w:eastAsia="楷体_GB2312" w:cs="楷体_GB2312"/>
          <w:kern w:val="0"/>
          <w:sz w:val="24"/>
        </w:rPr>
        <w:t>其他第三方（包括但不限于</w:t>
      </w:r>
      <w:r>
        <w:rPr>
          <w:rFonts w:eastAsia="楷体_GB2312"/>
          <w:kern w:val="0"/>
          <w:sz w:val="24"/>
        </w:rPr>
        <w:t>“</w:t>
      </w:r>
      <w:r>
        <w:rPr>
          <w:rFonts w:hint="eastAsia" w:ascii="楷体_GB2312" w:eastAsia="楷体_GB2312" w:cs="楷体_GB2312"/>
          <w:kern w:val="0"/>
          <w:sz w:val="24"/>
        </w:rPr>
        <w:t>【保证人】</w:t>
      </w:r>
      <w:r>
        <w:rPr>
          <w:rFonts w:eastAsia="楷体_GB2312"/>
          <w:kern w:val="0"/>
          <w:sz w:val="24"/>
        </w:rPr>
        <w:t>”</w:t>
      </w:r>
      <w:r>
        <w:rPr>
          <w:rFonts w:hint="eastAsia" w:ascii="楷体_GB2312" w:eastAsia="楷体_GB2312" w:cs="楷体_GB2312"/>
          <w:kern w:val="0"/>
          <w:sz w:val="24"/>
        </w:rPr>
        <w:t>）提起诉讼或仲裁以及申请强制执行</w:t>
      </w:r>
      <w:r>
        <w:rPr>
          <w:rFonts w:eastAsia="楷体_GB2312"/>
          <w:kern w:val="0"/>
          <w:sz w:val="24"/>
        </w:rPr>
        <w:t>“</w:t>
      </w:r>
      <w:r>
        <w:rPr>
          <w:rFonts w:hint="eastAsia" w:ascii="楷体_GB2312" w:eastAsia="楷体_GB2312" w:cs="楷体_GB2312"/>
          <w:kern w:val="0"/>
          <w:sz w:val="24"/>
        </w:rPr>
        <w:t>违约基础资产</w:t>
      </w:r>
      <w:r>
        <w:rPr>
          <w:rFonts w:eastAsia="楷体_GB2312"/>
          <w:kern w:val="0"/>
          <w:sz w:val="24"/>
        </w:rPr>
        <w:t>”</w:t>
      </w:r>
      <w:r>
        <w:rPr>
          <w:rFonts w:hint="eastAsia" w:ascii="楷体_GB2312" w:eastAsia="楷体_GB2312" w:cs="楷体_GB2312"/>
          <w:kern w:val="0"/>
          <w:sz w:val="24"/>
        </w:rPr>
        <w:t>所发生的合理成本、费用和税收，应由</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先行垫付，在通过前述程序取得任一笔</w:t>
      </w:r>
      <w:r>
        <w:rPr>
          <w:rFonts w:eastAsia="楷体_GB2312"/>
          <w:kern w:val="0"/>
          <w:sz w:val="24"/>
        </w:rPr>
        <w:t>“</w:t>
      </w:r>
      <w:r>
        <w:rPr>
          <w:rFonts w:hint="eastAsia" w:ascii="楷体_GB2312" w:eastAsia="楷体_GB2312" w:cs="楷体_GB2312"/>
          <w:kern w:val="0"/>
          <w:sz w:val="24"/>
        </w:rPr>
        <w:t>违约基础资产</w:t>
      </w:r>
      <w:r>
        <w:rPr>
          <w:rFonts w:eastAsia="楷体_GB2312"/>
          <w:kern w:val="0"/>
          <w:sz w:val="24"/>
        </w:rPr>
        <w:t>”</w:t>
      </w:r>
      <w:r>
        <w:rPr>
          <w:rFonts w:hint="eastAsia" w:ascii="楷体_GB2312" w:eastAsia="楷体_GB2312" w:cs="楷体_GB2312"/>
          <w:kern w:val="0"/>
          <w:sz w:val="24"/>
        </w:rPr>
        <w:t>回收款时，</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可在</w:t>
      </w:r>
      <w:r>
        <w:rPr>
          <w:rFonts w:eastAsia="楷体_GB2312"/>
          <w:kern w:val="0"/>
          <w:sz w:val="24"/>
        </w:rPr>
        <w:t>“</w:t>
      </w:r>
      <w:r>
        <w:rPr>
          <w:rFonts w:hint="eastAsia" w:ascii="楷体_GB2312" w:eastAsia="楷体_GB2312" w:cs="楷体_GB2312"/>
          <w:kern w:val="0"/>
          <w:sz w:val="24"/>
        </w:rPr>
        <w:t>回</w:t>
      </w:r>
      <w:bookmarkStart w:id="42" w:name="_Toc173860443"/>
      <w:r>
        <w:rPr>
          <w:rFonts w:hint="eastAsia" w:ascii="楷体_GB2312" w:eastAsia="楷体_GB2312" w:cs="楷体_GB2312"/>
          <w:kern w:val="0"/>
          <w:sz w:val="24"/>
        </w:rPr>
        <w:t>收款转付日</w:t>
      </w:r>
      <w:bookmarkEnd w:id="42"/>
      <w:r>
        <w:rPr>
          <w:rFonts w:eastAsia="楷体_GB2312"/>
          <w:kern w:val="0"/>
          <w:sz w:val="24"/>
        </w:rPr>
        <w:t>”</w:t>
      </w:r>
      <w:r>
        <w:rPr>
          <w:rFonts w:hint="eastAsia" w:ascii="楷体_GB2312" w:eastAsia="楷体_GB2312" w:cs="楷体_GB2312"/>
          <w:kern w:val="0"/>
          <w:sz w:val="24"/>
        </w:rPr>
        <w:t>向</w:t>
      </w:r>
      <w:r>
        <w:rPr>
          <w:rFonts w:eastAsia="楷体_GB2312"/>
          <w:kern w:val="0"/>
          <w:sz w:val="24"/>
        </w:rPr>
        <w:t>“</w:t>
      </w:r>
      <w:r>
        <w:rPr>
          <w:rFonts w:hint="eastAsia" w:ascii="楷体_GB2312" w:eastAsia="楷体_GB2312" w:cs="楷体_GB2312"/>
          <w:kern w:val="0"/>
          <w:sz w:val="24"/>
        </w:rPr>
        <w:t>信托账户</w:t>
      </w:r>
      <w:r>
        <w:rPr>
          <w:rFonts w:eastAsia="楷体_GB2312"/>
          <w:kern w:val="0"/>
          <w:sz w:val="24"/>
        </w:rPr>
        <w:t>”</w:t>
      </w:r>
      <w:r>
        <w:rPr>
          <w:rFonts w:hint="eastAsia" w:ascii="楷体_GB2312" w:eastAsia="楷体_GB2312" w:cs="楷体_GB2312"/>
          <w:kern w:val="0"/>
          <w:sz w:val="24"/>
        </w:rPr>
        <w:t>转付</w:t>
      </w:r>
      <w:r>
        <w:rPr>
          <w:rFonts w:eastAsia="楷体_GB2312"/>
          <w:kern w:val="0"/>
          <w:sz w:val="24"/>
        </w:rPr>
        <w:t>“</w:t>
      </w:r>
      <w:r>
        <w:rPr>
          <w:rFonts w:hint="eastAsia" w:ascii="楷体_GB2312" w:eastAsia="楷体_GB2312" w:cs="楷体_GB2312"/>
          <w:kern w:val="0"/>
          <w:sz w:val="24"/>
        </w:rPr>
        <w:t>回收款</w:t>
      </w:r>
      <w:r>
        <w:rPr>
          <w:rFonts w:eastAsia="楷体_GB2312"/>
          <w:kern w:val="0"/>
          <w:sz w:val="24"/>
        </w:rPr>
        <w:t>”</w:t>
      </w:r>
      <w:r>
        <w:rPr>
          <w:rFonts w:hint="eastAsia" w:ascii="楷体_GB2312" w:eastAsia="楷体_GB2312" w:cs="楷体_GB2312"/>
          <w:kern w:val="0"/>
          <w:sz w:val="24"/>
        </w:rPr>
        <w:t>前先行扣除其就该笔</w:t>
      </w:r>
      <w:r>
        <w:rPr>
          <w:rFonts w:eastAsia="楷体_GB2312"/>
          <w:kern w:val="0"/>
          <w:sz w:val="24"/>
        </w:rPr>
        <w:t>“</w:t>
      </w:r>
      <w:r>
        <w:rPr>
          <w:rFonts w:hint="eastAsia" w:ascii="楷体_GB2312" w:eastAsia="楷体_GB2312" w:cs="楷体_GB2312"/>
          <w:kern w:val="0"/>
          <w:sz w:val="24"/>
        </w:rPr>
        <w:t>违约资产</w:t>
      </w:r>
      <w:r>
        <w:rPr>
          <w:rFonts w:eastAsia="楷体_GB2312"/>
          <w:kern w:val="0"/>
          <w:sz w:val="24"/>
        </w:rPr>
        <w:t>”</w:t>
      </w:r>
      <w:r>
        <w:rPr>
          <w:rFonts w:hint="eastAsia" w:ascii="楷体_GB2312" w:eastAsia="楷体_GB2312" w:cs="楷体_GB2312"/>
          <w:kern w:val="0"/>
          <w:sz w:val="24"/>
        </w:rPr>
        <w:t>垫付的</w:t>
      </w:r>
      <w:r>
        <w:rPr>
          <w:rFonts w:eastAsia="楷体_GB2312"/>
          <w:kern w:val="0"/>
          <w:sz w:val="24"/>
        </w:rPr>
        <w:t>“</w:t>
      </w:r>
      <w:r>
        <w:rPr>
          <w:rFonts w:hint="eastAsia" w:ascii="楷体_GB2312" w:eastAsia="楷体_GB2312" w:cs="楷体_GB2312"/>
          <w:kern w:val="0"/>
          <w:sz w:val="24"/>
        </w:rPr>
        <w:t>执行费用</w:t>
      </w:r>
      <w:r>
        <w:rPr>
          <w:rFonts w:eastAsia="楷体_GB2312"/>
          <w:kern w:val="0"/>
          <w:sz w:val="24"/>
        </w:rPr>
        <w:t>”</w:t>
      </w:r>
      <w:r>
        <w:rPr>
          <w:rFonts w:hint="eastAsia" w:ascii="楷体_GB2312" w:eastAsia="楷体_GB2312" w:cs="楷体_GB2312"/>
          <w:kern w:val="0"/>
          <w:sz w:val="24"/>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费用支出：</w:t>
      </w:r>
      <w:r>
        <w:rPr>
          <w:rFonts w:hint="eastAsia" w:ascii="楷体_GB2312" w:eastAsia="楷体_GB2312" w:cs="楷体_GB2312"/>
          <w:kern w:val="0"/>
          <w:sz w:val="24"/>
        </w:rPr>
        <w:t>就各相关主体而言，系指该等实际支出和费用包括该方作为当事人与其他本次交易相关主体之间发生的与本次证券化交易相关的诉讼或仲裁而发生的合理律师费、诉讼费、仲裁费和执行费（扣除按照法院判决或仲裁裁决应当由对方承担的律师费、诉讼费、仲裁费和执行费）以及该方为管理</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所支出的根据</w:t>
      </w:r>
      <w:r>
        <w:rPr>
          <w:rFonts w:eastAsia="楷体_GB2312"/>
          <w:kern w:val="0"/>
          <w:sz w:val="24"/>
        </w:rPr>
        <w:t>“</w:t>
      </w:r>
      <w:r>
        <w:rPr>
          <w:rFonts w:hint="eastAsia" w:ascii="楷体_GB2312" w:eastAsia="楷体_GB2312" w:cs="楷体_GB2312"/>
          <w:kern w:val="0"/>
          <w:sz w:val="24"/>
        </w:rPr>
        <w:t>交易文件</w:t>
      </w:r>
      <w:r>
        <w:rPr>
          <w:rFonts w:eastAsia="楷体_GB2312"/>
          <w:kern w:val="0"/>
          <w:sz w:val="24"/>
        </w:rPr>
        <w:t>”</w:t>
      </w:r>
      <w:r>
        <w:rPr>
          <w:rFonts w:hint="eastAsia" w:ascii="楷体_GB2312" w:eastAsia="楷体_GB2312" w:cs="楷体_GB2312"/>
          <w:kern w:val="0"/>
          <w:sz w:val="24"/>
        </w:rPr>
        <w:t>的约定由</w:t>
      </w:r>
      <w:r>
        <w:rPr>
          <w:rFonts w:eastAsia="楷体_GB2312"/>
          <w:kern w:val="0"/>
          <w:sz w:val="24"/>
        </w:rPr>
        <w:t>“</w:t>
      </w:r>
      <w:r>
        <w:rPr>
          <w:rFonts w:hint="eastAsia" w:ascii="楷体_GB2312" w:eastAsia="楷体_GB2312" w:cs="楷体_GB2312"/>
          <w:kern w:val="0"/>
          <w:sz w:val="24"/>
        </w:rPr>
        <w:t>信托财产</w:t>
      </w:r>
      <w:r>
        <w:rPr>
          <w:rFonts w:eastAsia="楷体_GB2312"/>
          <w:kern w:val="0"/>
          <w:sz w:val="24"/>
        </w:rPr>
        <w:t>”</w:t>
      </w:r>
      <w:r>
        <w:rPr>
          <w:rFonts w:hint="eastAsia" w:ascii="楷体_GB2312" w:eastAsia="楷体_GB2312" w:cs="楷体_GB2312"/>
          <w:kern w:val="0"/>
          <w:sz w:val="24"/>
        </w:rPr>
        <w:t>承担的必要费用，但不包括：</w:t>
      </w:r>
      <w:r>
        <w:rPr>
          <w:rFonts w:hint="eastAsia" w:ascii="楷体_GB2312" w:eastAsia="楷体_GB2312" w:cs="楷体_GB2312"/>
          <w:sz w:val="24"/>
        </w:rPr>
        <w:t>（</w:t>
      </w:r>
      <w:r>
        <w:rPr>
          <w:rFonts w:eastAsia="楷体_GB2312"/>
          <w:sz w:val="24"/>
        </w:rPr>
        <w:t>a</w:t>
      </w:r>
      <w:r>
        <w:rPr>
          <w:rFonts w:hint="eastAsia" w:ascii="楷体_GB2312" w:eastAsia="楷体_GB2312" w:cs="楷体_GB2312"/>
          <w:sz w:val="24"/>
        </w:rPr>
        <w:t>）</w:t>
      </w:r>
      <w:r>
        <w:rPr>
          <w:rFonts w:hint="eastAsia" w:ascii="楷体_GB2312" w:eastAsia="楷体_GB2312" w:cs="楷体_GB2312"/>
          <w:kern w:val="0"/>
          <w:sz w:val="24"/>
        </w:rPr>
        <w:t>该方因过失、故意的不当行为、违约或欺诈情况下按法院判决或仲裁裁决须由其自身承担的律师费、诉讼费、仲裁费和执行费，以及</w:t>
      </w:r>
      <w:r>
        <w:rPr>
          <w:rFonts w:hint="eastAsia" w:ascii="楷体_GB2312" w:eastAsia="楷体_GB2312" w:cs="楷体_GB2312"/>
          <w:sz w:val="24"/>
        </w:rPr>
        <w:t>（</w:t>
      </w:r>
      <w:r>
        <w:rPr>
          <w:rFonts w:eastAsia="楷体_GB2312"/>
          <w:sz w:val="24"/>
        </w:rPr>
        <w:t>b</w:t>
      </w:r>
      <w:r>
        <w:rPr>
          <w:rFonts w:hint="eastAsia" w:ascii="楷体_GB2312" w:eastAsia="楷体_GB2312" w:cs="楷体_GB2312"/>
          <w:sz w:val="24"/>
        </w:rPr>
        <w:t>）</w:t>
      </w:r>
      <w:r>
        <w:rPr>
          <w:rFonts w:hint="eastAsia" w:ascii="楷体_GB2312" w:eastAsia="楷体_GB2312" w:cs="楷体_GB2312"/>
          <w:kern w:val="0"/>
          <w:sz w:val="24"/>
        </w:rPr>
        <w:t>该方提供服务应获取的报酬。</w:t>
      </w:r>
    </w:p>
    <w:p>
      <w:pPr>
        <w:adjustRightInd w:val="0"/>
        <w:spacing w:beforeLines="50" w:afterLines="50" w:line="240" w:lineRule="atLeast"/>
        <w:ind w:left="851"/>
        <w:textAlignment w:val="baseline"/>
        <w:rPr>
          <w:rFonts w:eastAsia="楷体_GB2312"/>
          <w:b/>
          <w:sz w:val="24"/>
        </w:rPr>
      </w:pPr>
      <w:r>
        <w:rPr>
          <w:rFonts w:hint="eastAsia" w:ascii="楷体_GB2312" w:eastAsia="楷体_GB2312" w:cs="楷体_GB2312"/>
          <w:sz w:val="24"/>
        </w:rPr>
        <w:t>其中，就</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而言，除上述费用和支出外，该等实际支出和费用还包括相关级别</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的上市流通费用（如有）、召集</w:t>
      </w:r>
      <w:r>
        <w:rPr>
          <w:rFonts w:eastAsia="楷体_GB2312"/>
          <w:sz w:val="24"/>
        </w:rPr>
        <w:t>“</w:t>
      </w:r>
      <w:r>
        <w:rPr>
          <w:rFonts w:hint="eastAsia" w:ascii="楷体_GB2312" w:eastAsia="楷体_GB2312" w:cs="楷体_GB2312"/>
          <w:sz w:val="24"/>
        </w:rPr>
        <w:t>资产支持商业票据持有人会议</w:t>
      </w:r>
      <w:r>
        <w:rPr>
          <w:rFonts w:eastAsia="楷体_GB2312"/>
          <w:sz w:val="24"/>
        </w:rPr>
        <w:t>”</w:t>
      </w:r>
      <w:r>
        <w:rPr>
          <w:rFonts w:hint="eastAsia" w:ascii="楷体_GB2312" w:eastAsia="楷体_GB2312" w:cs="楷体_GB2312"/>
          <w:sz w:val="24"/>
        </w:rPr>
        <w:t>发生的费用、</w:t>
      </w:r>
      <w:r>
        <w:rPr>
          <w:rFonts w:eastAsia="楷体_GB2312"/>
          <w:sz w:val="24"/>
        </w:rPr>
        <w:t>“</w:t>
      </w:r>
      <w:r>
        <w:rPr>
          <w:rFonts w:hint="eastAsia" w:ascii="楷体_GB2312" w:eastAsia="楷体_GB2312" w:cs="楷体_GB2312"/>
          <w:sz w:val="24"/>
        </w:rPr>
        <w:t>后备资产服务机构</w:t>
      </w:r>
      <w:r>
        <w:rPr>
          <w:rFonts w:eastAsia="楷体_GB2312"/>
          <w:sz w:val="24"/>
        </w:rPr>
        <w:t>”</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替代资产服务机构</w:t>
      </w:r>
      <w:r>
        <w:rPr>
          <w:rFonts w:eastAsia="楷体_GB2312"/>
          <w:sz w:val="24"/>
        </w:rPr>
        <w:t>”</w:t>
      </w:r>
      <w:r>
        <w:rPr>
          <w:rFonts w:hint="eastAsia" w:ascii="楷体_GB2312" w:eastAsia="楷体_GB2312" w:cs="楷体_GB2312"/>
          <w:sz w:val="24"/>
        </w:rPr>
        <w:t>接收服务发生的费用、</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管理或处置</w:t>
      </w:r>
      <w:r>
        <w:rPr>
          <w:rFonts w:eastAsia="楷体_GB2312"/>
          <w:sz w:val="24"/>
        </w:rPr>
        <w:t>“</w:t>
      </w:r>
      <w:r>
        <w:rPr>
          <w:rFonts w:hint="eastAsia" w:ascii="楷体_GB2312" w:eastAsia="楷体_GB2312" w:cs="楷体_GB2312"/>
          <w:sz w:val="24"/>
        </w:rPr>
        <w:t>信托财产</w:t>
      </w:r>
      <w:r>
        <w:rPr>
          <w:rFonts w:eastAsia="楷体_GB2312"/>
          <w:sz w:val="24"/>
        </w:rPr>
        <w:t>”</w:t>
      </w:r>
      <w:r>
        <w:rPr>
          <w:rFonts w:hint="eastAsia" w:ascii="楷体_GB2312" w:eastAsia="楷体_GB2312" w:cs="楷体_GB2312"/>
          <w:sz w:val="24"/>
        </w:rPr>
        <w:t>发生的费用等；</w:t>
      </w: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而言，除上述费用和支出外，该等实际支出和费用还包括因变更</w:t>
      </w:r>
      <w:r>
        <w:rPr>
          <w:rFonts w:eastAsia="楷体_GB2312"/>
          <w:kern w:val="0"/>
          <w:sz w:val="24"/>
        </w:rPr>
        <w:t>“</w:t>
      </w:r>
      <w:r>
        <w:rPr>
          <w:rFonts w:hint="eastAsia" w:ascii="楷体_GB2312" w:eastAsia="楷体_GB2312" w:cs="楷体_GB2312"/>
          <w:kern w:val="0"/>
          <w:sz w:val="24"/>
        </w:rPr>
        <w:t>【业务合同】</w:t>
      </w:r>
      <w:r>
        <w:rPr>
          <w:rFonts w:eastAsia="楷体_GB2312"/>
          <w:kern w:val="0"/>
          <w:sz w:val="24"/>
        </w:rPr>
        <w:t>”</w:t>
      </w:r>
      <w:r>
        <w:rPr>
          <w:rFonts w:hint="eastAsia" w:ascii="楷体_GB2312" w:eastAsia="楷体_GB2312" w:cs="楷体_GB2312"/>
          <w:kern w:val="0"/>
          <w:sz w:val="24"/>
        </w:rPr>
        <w:t>、</w:t>
      </w:r>
      <w:r>
        <w:rPr>
          <w:rFonts w:eastAsia="楷体_GB2312"/>
          <w:kern w:val="0"/>
          <w:sz w:val="24"/>
        </w:rPr>
        <w:t>“</w:t>
      </w:r>
      <w:r>
        <w:rPr>
          <w:rFonts w:hint="eastAsia" w:ascii="楷体_GB2312" w:eastAsia="楷体_GB2312" w:cs="楷体_GB2312"/>
          <w:kern w:val="0"/>
          <w:sz w:val="24"/>
        </w:rPr>
        <w:t>【保证合同】</w:t>
      </w:r>
      <w:r>
        <w:rPr>
          <w:rFonts w:eastAsia="楷体_GB2312"/>
          <w:kern w:val="0"/>
          <w:sz w:val="24"/>
        </w:rPr>
        <w:t>”</w:t>
      </w:r>
      <w:r>
        <w:rPr>
          <w:rFonts w:hint="eastAsia" w:ascii="楷体_GB2312" w:eastAsia="楷体_GB2312" w:cs="楷体_GB2312"/>
          <w:kern w:val="0"/>
          <w:sz w:val="24"/>
        </w:rPr>
        <w:t>而使</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承担的额外费用，但不包括</w:t>
      </w:r>
      <w:r>
        <w:rPr>
          <w:rFonts w:eastAsia="楷体_GB2312"/>
          <w:kern w:val="0"/>
          <w:sz w:val="24"/>
        </w:rPr>
        <w:t>“</w:t>
      </w:r>
      <w:r>
        <w:rPr>
          <w:rFonts w:hint="eastAsia" w:ascii="楷体_GB2312" w:eastAsia="楷体_GB2312" w:cs="楷体_GB2312"/>
          <w:kern w:val="0"/>
          <w:sz w:val="24"/>
        </w:rPr>
        <w:t>执行费用</w:t>
      </w:r>
      <w:r>
        <w:rPr>
          <w:rFonts w:eastAsia="楷体_GB2312"/>
          <w:kern w:val="0"/>
          <w:sz w:val="24"/>
        </w:rPr>
        <w:t>”</w:t>
      </w:r>
      <w:r>
        <w:rPr>
          <w:rFonts w:hint="eastAsia" w:ascii="楷体_GB2312" w:eastAsia="楷体_GB2312" w:cs="楷体_GB2312"/>
          <w:kern w:val="0"/>
          <w:sz w:val="24"/>
        </w:rPr>
        <w:t>；就</w:t>
      </w:r>
      <w:r>
        <w:rPr>
          <w:rFonts w:eastAsia="楷体_GB2312"/>
          <w:kern w:val="0"/>
          <w:sz w:val="24"/>
        </w:rPr>
        <w:t>“</w:t>
      </w:r>
      <w:r>
        <w:rPr>
          <w:rFonts w:hint="eastAsia" w:ascii="楷体_GB2312" w:eastAsia="楷体_GB2312" w:cs="楷体_GB2312"/>
          <w:kern w:val="0"/>
          <w:sz w:val="24"/>
        </w:rPr>
        <w:t>资金保管机构</w:t>
      </w:r>
      <w:r>
        <w:rPr>
          <w:rFonts w:eastAsia="楷体_GB2312"/>
          <w:kern w:val="0"/>
          <w:sz w:val="24"/>
        </w:rPr>
        <w:t>”</w:t>
      </w:r>
      <w:r>
        <w:rPr>
          <w:rFonts w:hint="eastAsia" w:ascii="楷体_GB2312" w:eastAsia="楷体_GB2312" w:cs="楷体_GB2312"/>
          <w:kern w:val="0"/>
          <w:sz w:val="24"/>
        </w:rPr>
        <w:t>而言，除上述费用和支出外，该等实际支出和费用还包括开户费、资金汇划费、账户管理费、网银年费及其他银行手续费用（含</w:t>
      </w:r>
      <w:r>
        <w:rPr>
          <w:rFonts w:eastAsia="楷体_GB2312"/>
          <w:kern w:val="0"/>
          <w:sz w:val="24"/>
        </w:rPr>
        <w:t>“</w:t>
      </w:r>
      <w:r>
        <w:rPr>
          <w:rFonts w:hint="eastAsia" w:ascii="楷体_GB2312" w:eastAsia="楷体_GB2312" w:cs="楷体_GB2312"/>
          <w:kern w:val="0"/>
          <w:sz w:val="24"/>
        </w:rPr>
        <w:t>受托人</w:t>
      </w:r>
      <w:r>
        <w:rPr>
          <w:rFonts w:eastAsia="楷体_GB2312"/>
          <w:kern w:val="0"/>
          <w:sz w:val="24"/>
        </w:rPr>
        <w:t>”</w:t>
      </w:r>
      <w:r>
        <w:rPr>
          <w:rFonts w:hint="eastAsia" w:ascii="楷体_GB2312" w:eastAsia="楷体_GB2312" w:cs="楷体_GB2312"/>
          <w:kern w:val="0"/>
          <w:sz w:val="24"/>
        </w:rPr>
        <w:t>先行代垫部分）。</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费用支出的内容</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承销报酬：</w:t>
      </w:r>
      <w:r>
        <w:rPr>
          <w:rFonts w:hint="eastAsia" w:ascii="楷体_GB2312" w:eastAsia="楷体_GB2312" w:cs="楷体_GB2312"/>
          <w:sz w:val="24"/>
        </w:rPr>
        <w:t>系指根据</w:t>
      </w:r>
      <w:r>
        <w:rPr>
          <w:rFonts w:eastAsia="楷体_GB2312"/>
          <w:sz w:val="24"/>
        </w:rPr>
        <w:t>“</w:t>
      </w:r>
      <w:r>
        <w:rPr>
          <w:rFonts w:hint="eastAsia" w:ascii="楷体_GB2312" w:eastAsia="楷体_GB2312" w:cs="楷体_GB2312"/>
          <w:sz w:val="24"/>
        </w:rPr>
        <w:t>《承销协议》</w:t>
      </w:r>
      <w:r>
        <w:rPr>
          <w:rFonts w:eastAsia="楷体_GB2312"/>
          <w:sz w:val="24"/>
        </w:rPr>
        <w:t>”</w:t>
      </w:r>
      <w:r>
        <w:rPr>
          <w:rFonts w:hint="eastAsia" w:ascii="楷体_GB2312" w:eastAsia="楷体_GB2312" w:cs="楷体_GB2312"/>
          <w:sz w:val="24"/>
        </w:rPr>
        <w:t>约定</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组织的</w:t>
      </w:r>
      <w:r>
        <w:rPr>
          <w:rFonts w:eastAsia="楷体_GB2312"/>
          <w:sz w:val="24"/>
        </w:rPr>
        <w:t>“</w:t>
      </w:r>
      <w:r>
        <w:rPr>
          <w:rFonts w:hint="eastAsia" w:ascii="楷体_GB2312" w:eastAsia="楷体_GB2312" w:cs="楷体_GB2312"/>
          <w:sz w:val="24"/>
        </w:rPr>
        <w:t>承销团</w:t>
      </w:r>
      <w:r>
        <w:rPr>
          <w:rFonts w:eastAsia="楷体_GB2312"/>
          <w:sz w:val="24"/>
        </w:rPr>
        <w:t>”</w:t>
      </w:r>
      <w:r>
        <w:rPr>
          <w:rFonts w:hint="eastAsia" w:ascii="楷体_GB2312" w:eastAsia="楷体_GB2312" w:cs="楷体_GB2312"/>
          <w:sz w:val="24"/>
        </w:rPr>
        <w:t>提供承销</w:t>
      </w:r>
      <w:r>
        <w:rPr>
          <w:rFonts w:eastAsia="楷体_GB2312"/>
          <w:sz w:val="24"/>
        </w:rPr>
        <w:t>“</w:t>
      </w:r>
      <w:r>
        <w:rPr>
          <w:rFonts w:hint="eastAsia" w:ascii="楷体_GB2312" w:eastAsia="楷体_GB2312" w:cs="楷体_GB2312"/>
          <w:sz w:val="24"/>
        </w:rPr>
        <w:t>资产支持商业票据</w:t>
      </w:r>
      <w:r>
        <w:rPr>
          <w:rFonts w:eastAsia="楷体_GB2312"/>
          <w:sz w:val="24"/>
        </w:rPr>
        <w:t>”</w:t>
      </w:r>
      <w:r>
        <w:rPr>
          <w:rFonts w:hint="eastAsia" w:ascii="楷体_GB2312" w:eastAsia="楷体_GB2312" w:cs="楷体_GB2312"/>
          <w:sz w:val="24"/>
        </w:rPr>
        <w:t>的服务而获取的对价，包括</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的主承销费，以及</w:t>
      </w:r>
      <w:r>
        <w:rPr>
          <w:rFonts w:eastAsia="楷体_GB2312"/>
          <w:sz w:val="24"/>
        </w:rPr>
        <w:t>“</w:t>
      </w:r>
      <w:r>
        <w:rPr>
          <w:rFonts w:hint="eastAsia" w:ascii="楷体_GB2312" w:eastAsia="楷体_GB2312" w:cs="楷体_GB2312"/>
          <w:sz w:val="24"/>
        </w:rPr>
        <w:t>主承销商</w:t>
      </w:r>
      <w:r>
        <w:rPr>
          <w:rFonts w:eastAsia="楷体_GB2312"/>
          <w:sz w:val="24"/>
        </w:rPr>
        <w:t>”</w:t>
      </w:r>
      <w:r>
        <w:rPr>
          <w:rFonts w:hint="eastAsia" w:ascii="楷体_GB2312" w:eastAsia="楷体_GB2312" w:cs="楷体_GB2312"/>
          <w:sz w:val="24"/>
        </w:rPr>
        <w:t>向</w:t>
      </w:r>
      <w:r>
        <w:rPr>
          <w:rFonts w:eastAsia="楷体_GB2312"/>
          <w:sz w:val="24"/>
        </w:rPr>
        <w:t>“</w:t>
      </w:r>
      <w:r>
        <w:rPr>
          <w:rFonts w:hint="eastAsia" w:ascii="楷体_GB2312" w:eastAsia="楷体_GB2312" w:cs="楷体_GB2312"/>
          <w:sz w:val="24"/>
        </w:rPr>
        <w:t>承销团</w:t>
      </w:r>
      <w:r>
        <w:rPr>
          <w:rFonts w:eastAsia="楷体_GB2312"/>
          <w:sz w:val="24"/>
        </w:rPr>
        <w:t>”</w:t>
      </w:r>
      <w:r>
        <w:rPr>
          <w:rFonts w:hint="eastAsia" w:ascii="楷体_GB2312" w:eastAsia="楷体_GB2312" w:cs="楷体_GB2312"/>
          <w:sz w:val="24"/>
        </w:rPr>
        <w:t>各成员支付的承销佣金。</w:t>
      </w:r>
    </w:p>
    <w:p>
      <w:pPr>
        <w:adjustRightInd w:val="0"/>
        <w:spacing w:beforeLines="50" w:afterLines="50" w:line="240" w:lineRule="atLeast"/>
        <w:ind w:left="851"/>
        <w:textAlignment w:val="baseline"/>
        <w:rPr>
          <w:rFonts w:eastAsia="楷体_GB2312"/>
          <w:b/>
          <w:i/>
          <w:color w:val="FF0000"/>
          <w:sz w:val="24"/>
          <w:u w:val="single"/>
        </w:rPr>
      </w:pPr>
      <w:r>
        <w:rPr>
          <w:rFonts w:hint="eastAsia" w:ascii="楷体_GB2312" w:eastAsia="楷体_GB2312" w:cs="楷体_GB2312"/>
          <w:b/>
          <w:i/>
          <w:color w:val="FF0000"/>
          <w:sz w:val="24"/>
          <w:u w:val="single"/>
        </w:rPr>
        <w:t>承销报酬的承担方式</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numPr>
          <w:ilvl w:val="1"/>
          <w:numId w:val="2"/>
        </w:numPr>
        <w:adjustRightInd w:val="0"/>
        <w:spacing w:beforeLines="50" w:afterLines="50" w:line="240" w:lineRule="atLeast"/>
        <w:ind w:left="851" w:hanging="851"/>
        <w:textAlignment w:val="baseline"/>
        <w:rPr>
          <w:rFonts w:eastAsia="楷体_GB2312"/>
          <w:kern w:val="0"/>
          <w:sz w:val="24"/>
        </w:rPr>
      </w:pPr>
      <w:r>
        <w:rPr>
          <w:rFonts w:hint="eastAsia" w:ascii="楷体_GB2312" w:eastAsia="楷体_GB2312" w:cs="楷体_GB2312"/>
          <w:b/>
          <w:sz w:val="24"/>
        </w:rPr>
        <w:t>发行费用：</w:t>
      </w:r>
      <w:r>
        <w:rPr>
          <w:rFonts w:hint="eastAsia" w:ascii="楷体_GB2312" w:eastAsia="楷体_GB2312" w:cs="楷体_GB2312"/>
          <w:kern w:val="0"/>
          <w:sz w:val="24"/>
        </w:rPr>
        <w:t>包括为发行之目的对应各期</w:t>
      </w:r>
      <w:r>
        <w:rPr>
          <w:rFonts w:eastAsia="楷体_GB2312"/>
          <w:kern w:val="0"/>
          <w:sz w:val="24"/>
        </w:rPr>
        <w:t>“</w:t>
      </w:r>
      <w:r>
        <w:rPr>
          <w:rFonts w:hint="eastAsia" w:ascii="楷体_GB2312" w:eastAsia="楷体_GB2312" w:cs="楷体_GB2312"/>
          <w:sz w:val="24"/>
        </w:rPr>
        <w:t>资产支持商业票据</w:t>
      </w:r>
      <w:r>
        <w:rPr>
          <w:rFonts w:eastAsia="楷体_GB2312"/>
          <w:kern w:val="0"/>
          <w:sz w:val="24"/>
        </w:rPr>
        <w:t>”</w:t>
      </w:r>
      <w:r>
        <w:rPr>
          <w:rFonts w:hint="eastAsia" w:ascii="楷体_GB2312" w:eastAsia="楷体_GB2312" w:cs="楷体_GB2312"/>
          <w:kern w:val="0"/>
          <w:sz w:val="24"/>
        </w:rPr>
        <w:t>发行之前发生的承销报酬、委托</w:t>
      </w:r>
      <w:r>
        <w:rPr>
          <w:rFonts w:eastAsia="楷体_GB2312"/>
          <w:kern w:val="0"/>
          <w:sz w:val="24"/>
        </w:rPr>
        <w:t>“</w:t>
      </w:r>
      <w:r>
        <w:rPr>
          <w:rFonts w:hint="eastAsia" w:ascii="楷体_GB2312" w:eastAsia="楷体_GB2312" w:cs="楷体_GB2312"/>
          <w:sz w:val="24"/>
        </w:rPr>
        <w:t>法律顾问【</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现金流评估预测机构</w:t>
      </w:r>
      <w:r>
        <w:rPr>
          <w:rFonts w:eastAsia="楷体_GB2312"/>
          <w:sz w:val="24"/>
        </w:rPr>
        <w:t>”</w:t>
      </w:r>
      <w:r>
        <w:rPr>
          <w:rFonts w:hint="eastAsia" w:ascii="楷体_GB2312" w:eastAsia="楷体_GB2312" w:cs="楷体_GB2312"/>
          <w:sz w:val="24"/>
        </w:rPr>
        <w:t>】进行</w:t>
      </w:r>
      <w:r>
        <w:rPr>
          <w:rFonts w:hint="eastAsia" w:ascii="楷体_GB2312" w:eastAsia="楷体_GB2312" w:cs="楷体_GB2312"/>
          <w:bCs/>
          <w:sz w:val="24"/>
        </w:rPr>
        <w:t>尽职</w:t>
      </w:r>
      <w:r>
        <w:rPr>
          <w:rFonts w:hint="eastAsia" w:ascii="楷体_GB2312" w:eastAsia="楷体_GB2312" w:cs="楷体_GB2312"/>
          <w:sz w:val="24"/>
        </w:rPr>
        <w:t>调查并出具专业意见所应付的报酬、聘请</w:t>
      </w:r>
      <w:r>
        <w:rPr>
          <w:rFonts w:eastAsia="楷体_GB2312"/>
          <w:sz w:val="24"/>
        </w:rPr>
        <w:t>“</w:t>
      </w:r>
      <w:r>
        <w:rPr>
          <w:rFonts w:hint="eastAsia" w:ascii="楷体_GB2312" w:eastAsia="楷体_GB2312" w:cs="楷体_GB2312"/>
          <w:sz w:val="24"/>
        </w:rPr>
        <w:t>评级机构</w:t>
      </w:r>
      <w:r>
        <w:rPr>
          <w:rFonts w:eastAsia="楷体_GB2312"/>
          <w:sz w:val="24"/>
        </w:rPr>
        <w:t>”</w:t>
      </w:r>
      <w:r>
        <w:rPr>
          <w:rFonts w:hint="eastAsia" w:ascii="楷体_GB2312" w:eastAsia="楷体_GB2312" w:cs="楷体_GB2312"/>
          <w:sz w:val="24"/>
        </w:rPr>
        <w:t>进行初始评级应付的报酬</w:t>
      </w:r>
      <w:r>
        <w:rPr>
          <w:rFonts w:hint="eastAsia" w:ascii="楷体_GB2312" w:eastAsia="楷体_GB2312" w:cs="楷体_GB2312"/>
          <w:kern w:val="0"/>
          <w:sz w:val="24"/>
        </w:rPr>
        <w:t>等费用。【</w:t>
      </w:r>
      <w:r>
        <w:rPr>
          <w:rFonts w:eastAsia="楷体_GB2312"/>
          <w:kern w:val="0"/>
          <w:sz w:val="24"/>
        </w:rPr>
        <w:t>“</w:t>
      </w:r>
      <w:r>
        <w:rPr>
          <w:rFonts w:hint="eastAsia" w:ascii="楷体_GB2312" w:eastAsia="楷体_GB2312" w:cs="楷体_GB2312"/>
          <w:kern w:val="0"/>
          <w:sz w:val="24"/>
        </w:rPr>
        <w:t>发行费用</w:t>
      </w:r>
      <w:r>
        <w:rPr>
          <w:rFonts w:eastAsia="楷体_GB2312"/>
          <w:kern w:val="0"/>
          <w:sz w:val="24"/>
        </w:rPr>
        <w:t>”</w:t>
      </w:r>
      <w:r>
        <w:rPr>
          <w:rFonts w:hint="eastAsia" w:ascii="楷体_GB2312" w:eastAsia="楷体_GB2312" w:cs="楷体_GB2312"/>
          <w:kern w:val="0"/>
          <w:sz w:val="24"/>
        </w:rPr>
        <w:t>不从</w:t>
      </w:r>
      <w:r>
        <w:rPr>
          <w:rFonts w:eastAsia="楷体_GB2312"/>
          <w:kern w:val="0"/>
          <w:sz w:val="24"/>
        </w:rPr>
        <w:t>“</w:t>
      </w:r>
      <w:r>
        <w:rPr>
          <w:rFonts w:hint="eastAsia" w:ascii="楷体_GB2312" w:eastAsia="楷体_GB2312" w:cs="楷体_GB2312"/>
          <w:kern w:val="0"/>
          <w:sz w:val="24"/>
        </w:rPr>
        <w:t>募集资金</w:t>
      </w:r>
      <w:r>
        <w:rPr>
          <w:rFonts w:eastAsia="楷体_GB2312"/>
          <w:kern w:val="0"/>
          <w:sz w:val="24"/>
        </w:rPr>
        <w:t>”</w:t>
      </w:r>
      <w:r>
        <w:rPr>
          <w:rFonts w:hint="eastAsia" w:ascii="楷体_GB2312" w:eastAsia="楷体_GB2312" w:cs="楷体_GB2312"/>
          <w:kern w:val="0"/>
          <w:sz w:val="24"/>
        </w:rPr>
        <w:t>中扣除，由</w:t>
      </w:r>
      <w:r>
        <w:rPr>
          <w:rFonts w:eastAsia="楷体_GB2312"/>
          <w:kern w:val="0"/>
          <w:sz w:val="24"/>
        </w:rPr>
        <w:t>“</w:t>
      </w:r>
      <w:r>
        <w:rPr>
          <w:rFonts w:hint="eastAsia" w:ascii="楷体_GB2312" w:eastAsia="楷体_GB2312" w:cs="楷体_GB2312"/>
          <w:kern w:val="0"/>
          <w:sz w:val="24"/>
        </w:rPr>
        <w:t>委托人</w:t>
      </w:r>
      <w:r>
        <w:rPr>
          <w:rFonts w:eastAsia="楷体_GB2312"/>
          <w:kern w:val="0"/>
          <w:sz w:val="24"/>
        </w:rPr>
        <w:t>”</w:t>
      </w:r>
      <w:r>
        <w:rPr>
          <w:rFonts w:hint="eastAsia" w:ascii="楷体_GB2312" w:eastAsia="楷体_GB2312" w:cs="楷体_GB2312"/>
          <w:kern w:val="0"/>
          <w:sz w:val="24"/>
        </w:rPr>
        <w:t>另行承担。】</w:t>
      </w:r>
    </w:p>
    <w:p>
      <w:pPr>
        <w:adjustRightInd w:val="0"/>
        <w:spacing w:beforeLines="50" w:afterLines="50" w:line="240" w:lineRule="atLeast"/>
        <w:ind w:left="851"/>
        <w:textAlignment w:val="baseline"/>
        <w:rPr>
          <w:rFonts w:eastAsia="楷体_GB2312"/>
          <w:kern w:val="0"/>
          <w:sz w:val="24"/>
          <w:u w:val="single"/>
        </w:rPr>
      </w:pPr>
      <w:r>
        <w:rPr>
          <w:rFonts w:hint="eastAsia" w:ascii="楷体_GB2312" w:eastAsia="楷体_GB2312" w:cs="楷体_GB2312"/>
          <w:b/>
          <w:i/>
          <w:color w:val="FF0000"/>
          <w:sz w:val="24"/>
          <w:u w:val="single"/>
        </w:rPr>
        <w:t>发行费用的范围和承担方式</w:t>
      </w:r>
      <w:r>
        <w:rPr>
          <w:rFonts w:hint="eastAsia" w:ascii="楷体_GB2312" w:eastAsia="楷体_GB2312" w:cs="楷体_GB2312"/>
          <w:b/>
          <w:i/>
          <w:color w:val="FF0000"/>
          <w:sz w:val="24"/>
          <w:u w:val="single"/>
          <w:lang w:val="en-US" w:eastAsia="zh-CN"/>
        </w:rPr>
        <w:t>应</w:t>
      </w:r>
      <w:r>
        <w:rPr>
          <w:rFonts w:hint="eastAsia" w:ascii="楷体_GB2312" w:eastAsia="楷体_GB2312" w:cs="楷体_GB2312"/>
          <w:b/>
          <w:i/>
          <w:color w:val="FF0000"/>
          <w:sz w:val="24"/>
          <w:u w:val="single"/>
        </w:rPr>
        <w:t>根据实际情况</w:t>
      </w:r>
      <w:r>
        <w:rPr>
          <w:rFonts w:hint="eastAsia" w:ascii="楷体_GB2312" w:eastAsia="楷体_GB2312" w:cs="楷体_GB2312"/>
          <w:b/>
          <w:i/>
          <w:color w:val="FF0000"/>
          <w:sz w:val="24"/>
          <w:u w:val="single"/>
          <w:lang w:val="en-US" w:eastAsia="zh-CN"/>
        </w:rPr>
        <w:t>修改</w:t>
      </w:r>
      <w:r>
        <w:rPr>
          <w:rFonts w:hint="eastAsia" w:ascii="楷体_GB2312" w:eastAsia="楷体_GB2312" w:cs="楷体_GB2312"/>
          <w:b/>
          <w:i/>
          <w:color w:val="FF0000"/>
          <w:sz w:val="24"/>
          <w:u w:val="single"/>
        </w:rPr>
        <w:t>。</w:t>
      </w:r>
    </w:p>
    <w:p>
      <w:pPr>
        <w:pStyle w:val="13"/>
        <w:spacing w:beforeLines="50" w:afterLines="50" w:line="240" w:lineRule="atLeast"/>
        <w:outlineLvl w:val="1"/>
        <w:rPr>
          <w:rFonts w:hint="eastAsia" w:ascii="楷体_GB2312" w:eastAsia="楷体_GB2312" w:cs="楷体_GB2312"/>
          <w:b/>
        </w:rPr>
      </w:pPr>
      <w:r>
        <w:rPr>
          <w:rFonts w:hint="eastAsia" w:ascii="楷体_GB2312" w:eastAsia="楷体_GB2312" w:cs="楷体_GB2312"/>
          <w:b/>
        </w:rPr>
        <w:t>（八）资产支持商业票据持有人会议</w:t>
      </w:r>
    </w:p>
    <w:p>
      <w:pPr>
        <w:adjustRightInd w:val="0"/>
        <w:spacing w:beforeLines="50" w:afterLines="50" w:line="240" w:lineRule="atLeast"/>
        <w:textAlignment w:val="baseline"/>
        <w:outlineLvl w:val="1"/>
        <w:rPr>
          <w:rFonts w:hint="eastAsia" w:ascii="楷体_GB2312" w:eastAsia="楷体_GB2312" w:cs="楷体_GB2312"/>
          <w:b/>
          <w:u w:val="single"/>
        </w:rPr>
      </w:pPr>
      <w:r>
        <w:rPr>
          <w:rFonts w:hint="eastAsia" w:ascii="楷体_GB2312" w:eastAsia="楷体_GB2312" w:cs="楷体_GB2312"/>
          <w:b/>
          <w:i/>
          <w:color w:val="FF0000"/>
          <w:sz w:val="24"/>
          <w:u w:val="single"/>
          <w:lang w:val="en-US" w:eastAsia="zh-CN"/>
        </w:rPr>
        <w:t>资产支持商业票据</w:t>
      </w:r>
      <w:r>
        <w:rPr>
          <w:rFonts w:hint="eastAsia" w:ascii="楷体_GB2312" w:eastAsia="楷体_GB2312" w:cs="楷体_GB2312"/>
          <w:b/>
          <w:i/>
          <w:color w:val="FF0000"/>
          <w:sz w:val="24"/>
          <w:u w:val="single"/>
        </w:rPr>
        <w:t>持有人会议有关定义</w:t>
      </w:r>
      <w:r>
        <w:rPr>
          <w:rFonts w:hint="eastAsia" w:ascii="楷体_GB2312" w:eastAsia="楷体_GB2312" w:cs="楷体_GB2312"/>
          <w:b/>
          <w:i/>
          <w:color w:val="FF0000"/>
          <w:sz w:val="24"/>
          <w:u w:val="single"/>
          <w:lang w:val="en-US" w:eastAsia="zh-CN"/>
        </w:rPr>
        <w:t>和条款应</w:t>
      </w:r>
      <w:r>
        <w:rPr>
          <w:rFonts w:hint="eastAsia" w:ascii="楷体_GB2312" w:eastAsia="楷体_GB2312" w:cs="楷体_GB2312"/>
          <w:b/>
          <w:i/>
          <w:color w:val="FF0000"/>
          <w:sz w:val="24"/>
          <w:u w:val="single"/>
        </w:rPr>
        <w:t>根据实际情况调整，</w:t>
      </w:r>
      <w:r>
        <w:rPr>
          <w:rFonts w:hint="eastAsia" w:ascii="楷体_GB2312" w:eastAsia="楷体_GB2312" w:cs="楷体_GB2312"/>
          <w:b/>
          <w:i/>
          <w:color w:val="FF0000"/>
          <w:sz w:val="24"/>
          <w:u w:val="single"/>
          <w:lang w:val="en-US" w:eastAsia="zh-CN"/>
        </w:rPr>
        <w:t>同时应</w:t>
      </w:r>
      <w:r>
        <w:rPr>
          <w:rFonts w:hint="eastAsia" w:ascii="楷体_GB2312" w:eastAsia="楷体_GB2312" w:cs="楷体_GB2312"/>
          <w:b/>
          <w:i/>
          <w:color w:val="FF0000"/>
          <w:sz w:val="24"/>
          <w:u w:val="single"/>
        </w:rPr>
        <w:t>符合法律法规和有关自律规则的规定。</w:t>
      </w:r>
    </w:p>
    <w:p>
      <w:pPr>
        <w:numPr>
          <w:ilvl w:val="1"/>
          <w:numId w:val="2"/>
        </w:numPr>
        <w:adjustRightInd w:val="0"/>
        <w:spacing w:beforeLines="50" w:afterLines="50" w:line="240" w:lineRule="atLeast"/>
        <w:ind w:left="851" w:hanging="851"/>
        <w:textAlignment w:val="baseline"/>
        <w:rPr>
          <w:rFonts w:eastAsia="楷体_GB2312"/>
          <w:b/>
          <w:sz w:val="24"/>
        </w:rPr>
      </w:pPr>
      <w:r>
        <w:rPr>
          <w:rFonts w:hint="eastAsia" w:ascii="楷体_GB2312" w:eastAsia="楷体_GB2312" w:cs="楷体_GB2312"/>
          <w:b/>
          <w:sz w:val="24"/>
        </w:rPr>
        <w:t>资产支持商业票据持有人会议</w:t>
      </w:r>
      <w:r>
        <w:rPr>
          <w:rFonts w:eastAsia="楷体_GB2312"/>
          <w:b/>
          <w:sz w:val="24"/>
        </w:rPr>
        <w:t>/</w:t>
      </w:r>
      <w:r>
        <w:rPr>
          <w:rFonts w:hint="eastAsia" w:ascii="楷体_GB2312" w:eastAsia="楷体_GB2312" w:cs="楷体_GB2312"/>
          <w:b/>
          <w:sz w:val="24"/>
        </w:rPr>
        <w:t>持有人会议：</w:t>
      </w:r>
      <w:r>
        <w:rPr>
          <w:rFonts w:hint="eastAsia" w:ascii="楷体_GB2312" w:eastAsia="楷体_GB2312" w:cs="楷体_GB2312"/>
          <w:kern w:val="0"/>
          <w:sz w:val="24"/>
        </w:rPr>
        <w:t>系指按照</w:t>
      </w:r>
      <w:r>
        <w:rPr>
          <w:rFonts w:eastAsia="楷体_GB2312"/>
          <w:kern w:val="0"/>
          <w:sz w:val="24"/>
        </w:rPr>
        <w:t>“</w:t>
      </w:r>
      <w:r>
        <w:rPr>
          <w:rFonts w:hint="eastAsia" w:ascii="楷体_GB2312" w:eastAsia="楷体_GB2312" w:cs="楷体_GB2312"/>
          <w:kern w:val="0"/>
          <w:sz w:val="24"/>
        </w:rPr>
        <w:t>《信托合同》</w:t>
      </w:r>
      <w:r>
        <w:rPr>
          <w:rFonts w:eastAsia="楷体_GB2312"/>
          <w:kern w:val="0"/>
          <w:sz w:val="24"/>
        </w:rPr>
        <w:t>”</w:t>
      </w:r>
      <w:r>
        <w:rPr>
          <w:rFonts w:hint="eastAsia" w:ascii="楷体_GB2312" w:eastAsia="楷体_GB2312" w:cs="楷体_GB2312"/>
          <w:kern w:val="0"/>
          <w:sz w:val="24"/>
        </w:rPr>
        <w:t>的</w:t>
      </w:r>
      <w:r>
        <w:rPr>
          <w:rFonts w:hint="eastAsia" w:ascii="楷体_GB2312" w:eastAsia="楷体_GB2312" w:cs="楷体_GB2312"/>
          <w:bCs/>
          <w:sz w:val="24"/>
        </w:rPr>
        <w:t>约定</w:t>
      </w:r>
      <w:r>
        <w:rPr>
          <w:rFonts w:hint="eastAsia" w:ascii="楷体_GB2312" w:eastAsia="楷体_GB2312" w:cs="楷体_GB2312"/>
          <w:kern w:val="0"/>
          <w:sz w:val="24"/>
        </w:rPr>
        <w:t>召集并召开的</w:t>
      </w:r>
      <w:r>
        <w:rPr>
          <w:rFonts w:eastAsia="楷体_GB2312"/>
          <w:kern w:val="0"/>
          <w:sz w:val="24"/>
        </w:rPr>
        <w:t>“</w:t>
      </w:r>
      <w:r>
        <w:rPr>
          <w:rFonts w:hint="eastAsia" w:ascii="楷体_GB2312" w:eastAsia="楷体_GB2312" w:cs="楷体_GB2312"/>
          <w:kern w:val="0"/>
          <w:sz w:val="24"/>
        </w:rPr>
        <w:t>资产支持商业票据持有人</w:t>
      </w:r>
      <w:r>
        <w:rPr>
          <w:rFonts w:eastAsia="楷体_GB2312"/>
          <w:kern w:val="0"/>
          <w:sz w:val="24"/>
        </w:rPr>
        <w:t>”</w:t>
      </w:r>
      <w:r>
        <w:rPr>
          <w:rFonts w:hint="eastAsia" w:ascii="楷体_GB2312" w:eastAsia="楷体_GB2312" w:cs="楷体_GB2312"/>
          <w:kern w:val="0"/>
          <w:sz w:val="24"/>
        </w:rPr>
        <w:t>的会议。</w:t>
      </w:r>
    </w:p>
    <w:p>
      <w:pPr>
        <w:pStyle w:val="13"/>
        <w:spacing w:beforeLines="50" w:afterLines="50" w:line="240" w:lineRule="atLeast"/>
        <w:outlineLvl w:val="1"/>
        <w:rPr>
          <w:rFonts w:eastAsia="楷体_GB2312"/>
          <w:b/>
        </w:rPr>
      </w:pPr>
      <w:r>
        <w:rPr>
          <w:rFonts w:hint="eastAsia" w:ascii="楷体_GB2312" w:eastAsia="楷体_GB2312" w:cs="楷体_GB2312"/>
          <w:b/>
        </w:rPr>
        <w:t>（九）关于资产服务的定义</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服务：</w:t>
      </w:r>
      <w:r>
        <w:rPr>
          <w:rFonts w:hint="eastAsia" w:ascii="楷体_GB2312" w:eastAsia="楷体_GB2312" w:cs="楷体_GB2312"/>
          <w:kern w:val="0"/>
          <w:sz w:val="24"/>
        </w:rPr>
        <w:t>系指</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【】中</w:t>
      </w:r>
      <w:r>
        <w:rPr>
          <w:rFonts w:hint="eastAsia" w:ascii="楷体_GB2312" w:eastAsia="楷体_GB2312" w:cs="楷体_GB2312"/>
          <w:bCs/>
          <w:sz w:val="24"/>
        </w:rPr>
        <w:t>约定</w:t>
      </w:r>
      <w:r>
        <w:rPr>
          <w:rFonts w:hint="eastAsia" w:ascii="楷体_GB2312" w:eastAsia="楷体_GB2312" w:cs="楷体_GB2312"/>
          <w:kern w:val="0"/>
          <w:sz w:val="24"/>
        </w:rPr>
        <w:t>的由</w:t>
      </w:r>
      <w:r>
        <w:rPr>
          <w:rFonts w:eastAsia="楷体_GB2312"/>
          <w:kern w:val="0"/>
          <w:sz w:val="24"/>
        </w:rPr>
        <w:t>“</w:t>
      </w:r>
      <w:r>
        <w:rPr>
          <w:rFonts w:hint="eastAsia" w:ascii="楷体_GB2312" w:eastAsia="楷体_GB2312" w:cs="楷体_GB2312"/>
          <w:kern w:val="0"/>
          <w:sz w:val="24"/>
        </w:rPr>
        <w:t>资产服务机构</w:t>
      </w:r>
      <w:r>
        <w:rPr>
          <w:rFonts w:eastAsia="楷体_GB2312"/>
          <w:kern w:val="0"/>
          <w:sz w:val="24"/>
        </w:rPr>
        <w:t>”</w:t>
      </w:r>
      <w:r>
        <w:rPr>
          <w:rFonts w:hint="eastAsia" w:ascii="楷体_GB2312" w:eastAsia="楷体_GB2312" w:cs="楷体_GB2312"/>
          <w:kern w:val="0"/>
          <w:sz w:val="24"/>
        </w:rPr>
        <w:t>根据</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提供的特定服务。</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后备服务：</w:t>
      </w:r>
      <w:r>
        <w:rPr>
          <w:rFonts w:hint="eastAsia" w:ascii="楷体_GB2312" w:eastAsia="楷体_GB2312" w:cs="楷体_GB2312"/>
          <w:kern w:val="0"/>
          <w:sz w:val="24"/>
        </w:rPr>
        <w:t>系指</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【】中</w:t>
      </w:r>
      <w:r>
        <w:rPr>
          <w:rFonts w:hint="eastAsia" w:ascii="楷体_GB2312" w:eastAsia="楷体_GB2312" w:cs="楷体_GB2312"/>
          <w:bCs/>
          <w:sz w:val="24"/>
        </w:rPr>
        <w:t>约定</w:t>
      </w:r>
      <w:r>
        <w:rPr>
          <w:rFonts w:hint="eastAsia" w:ascii="楷体_GB2312" w:eastAsia="楷体_GB2312" w:cs="楷体_GB2312"/>
          <w:kern w:val="0"/>
          <w:sz w:val="24"/>
        </w:rPr>
        <w:t>的将由</w:t>
      </w:r>
      <w:r>
        <w:rPr>
          <w:rFonts w:eastAsia="楷体_GB2312"/>
          <w:kern w:val="0"/>
          <w:sz w:val="24"/>
        </w:rPr>
        <w:t>“</w:t>
      </w:r>
      <w:r>
        <w:rPr>
          <w:rFonts w:hint="eastAsia" w:ascii="楷体_GB2312" w:eastAsia="楷体_GB2312" w:cs="楷体_GB2312"/>
          <w:kern w:val="0"/>
          <w:sz w:val="24"/>
        </w:rPr>
        <w:t>后备资产服务机构</w:t>
      </w:r>
      <w:r>
        <w:rPr>
          <w:rFonts w:eastAsia="楷体_GB2312"/>
          <w:kern w:val="0"/>
          <w:sz w:val="24"/>
        </w:rPr>
        <w:t>”</w:t>
      </w:r>
      <w:r>
        <w:rPr>
          <w:rFonts w:hint="eastAsia" w:ascii="楷体_GB2312" w:eastAsia="楷体_GB2312" w:cs="楷体_GB2312"/>
          <w:kern w:val="0"/>
          <w:sz w:val="24"/>
        </w:rPr>
        <w:t>按照</w:t>
      </w:r>
      <w:r>
        <w:rPr>
          <w:rFonts w:eastAsia="楷体_GB2312"/>
          <w:kern w:val="0"/>
          <w:sz w:val="24"/>
        </w:rPr>
        <w:t>“</w:t>
      </w:r>
      <w:r>
        <w:rPr>
          <w:rFonts w:hint="eastAsia" w:ascii="楷体_GB2312" w:eastAsia="楷体_GB2312" w:cs="楷体_GB2312"/>
          <w:kern w:val="0"/>
          <w:sz w:val="24"/>
        </w:rPr>
        <w:t>《服务合同》</w:t>
      </w:r>
      <w:r>
        <w:rPr>
          <w:rFonts w:eastAsia="楷体_GB2312"/>
          <w:kern w:val="0"/>
          <w:sz w:val="24"/>
        </w:rPr>
        <w:t>”</w:t>
      </w:r>
      <w:r>
        <w:rPr>
          <w:rFonts w:hint="eastAsia" w:ascii="楷体_GB2312" w:eastAsia="楷体_GB2312" w:cs="楷体_GB2312"/>
          <w:kern w:val="0"/>
          <w:sz w:val="24"/>
        </w:rPr>
        <w:t>提供的特定服务。</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资产服务移交方案：</w:t>
      </w:r>
      <w:r>
        <w:rPr>
          <w:rFonts w:hint="eastAsia" w:ascii="楷体_GB2312" w:eastAsia="楷体_GB2312" w:cs="楷体_GB2312"/>
          <w:sz w:val="24"/>
        </w:rPr>
        <w:t>系指</w:t>
      </w:r>
      <w:r>
        <w:rPr>
          <w:rFonts w:eastAsia="楷体_GB2312"/>
          <w:sz w:val="24"/>
        </w:rPr>
        <w:t>“</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根据</w:t>
      </w:r>
      <w:r>
        <w:rPr>
          <w:rFonts w:eastAsia="楷体_GB2312"/>
          <w:sz w:val="24"/>
        </w:rPr>
        <w:t>“</w:t>
      </w:r>
      <w:r>
        <w:rPr>
          <w:rFonts w:hint="eastAsia" w:ascii="楷体_GB2312" w:eastAsia="楷体_GB2312" w:cs="楷体_GB2312"/>
          <w:sz w:val="24"/>
        </w:rPr>
        <w:t>《服务合同》</w:t>
      </w:r>
      <w:r>
        <w:rPr>
          <w:rFonts w:eastAsia="楷体_GB2312"/>
          <w:sz w:val="24"/>
        </w:rPr>
        <w:t>”</w:t>
      </w:r>
      <w:r>
        <w:rPr>
          <w:rFonts w:hint="eastAsia" w:ascii="楷体_GB2312" w:eastAsia="楷体_GB2312" w:cs="楷体_GB2312"/>
          <w:sz w:val="24"/>
        </w:rPr>
        <w:t>将</w:t>
      </w:r>
      <w:r>
        <w:rPr>
          <w:rFonts w:eastAsia="楷体_GB2312"/>
          <w:sz w:val="24"/>
        </w:rPr>
        <w:t>“</w:t>
      </w:r>
      <w:r>
        <w:rPr>
          <w:rFonts w:hint="eastAsia" w:ascii="楷体_GB2312" w:eastAsia="楷体_GB2312" w:cs="楷体_GB2312"/>
          <w:sz w:val="24"/>
        </w:rPr>
        <w:t>服务</w:t>
      </w:r>
      <w:r>
        <w:rPr>
          <w:rFonts w:eastAsia="楷体_GB2312"/>
          <w:sz w:val="24"/>
        </w:rPr>
        <w:t>”</w:t>
      </w:r>
      <w:r>
        <w:rPr>
          <w:rFonts w:hint="eastAsia" w:ascii="楷体_GB2312" w:eastAsia="楷体_GB2312" w:cs="楷体_GB2312"/>
          <w:sz w:val="24"/>
        </w:rPr>
        <w:t>移交至</w:t>
      </w:r>
      <w:r>
        <w:rPr>
          <w:rFonts w:eastAsia="楷体_GB2312"/>
          <w:sz w:val="24"/>
        </w:rPr>
        <w:t>“</w:t>
      </w:r>
      <w:r>
        <w:rPr>
          <w:rFonts w:hint="eastAsia" w:ascii="楷体_GB2312" w:eastAsia="楷体_GB2312" w:cs="楷体_GB2312"/>
          <w:sz w:val="24"/>
        </w:rPr>
        <w:t>后备</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或</w:t>
      </w:r>
      <w:r>
        <w:rPr>
          <w:rFonts w:eastAsia="楷体_GB2312"/>
          <w:sz w:val="24"/>
        </w:rPr>
        <w:t>“</w:t>
      </w:r>
      <w:r>
        <w:rPr>
          <w:rFonts w:hint="eastAsia" w:ascii="楷体_GB2312" w:eastAsia="楷体_GB2312" w:cs="楷体_GB2312"/>
          <w:sz w:val="24"/>
        </w:rPr>
        <w:t>替代</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的方案。</w:t>
      </w:r>
    </w:p>
    <w:p>
      <w:pPr>
        <w:numPr>
          <w:ilvl w:val="1"/>
          <w:numId w:val="2"/>
        </w:numPr>
        <w:adjustRightInd w:val="0"/>
        <w:spacing w:beforeLines="50" w:afterLines="50" w:line="240" w:lineRule="atLeast"/>
        <w:ind w:left="851" w:hanging="851"/>
        <w:textAlignment w:val="baseline"/>
        <w:rPr>
          <w:rFonts w:eastAsia="楷体_GB2312"/>
          <w:sz w:val="24"/>
        </w:rPr>
      </w:pPr>
      <w:r>
        <w:rPr>
          <w:rFonts w:hint="eastAsia" w:ascii="楷体_GB2312" w:eastAsia="楷体_GB2312" w:cs="楷体_GB2312"/>
          <w:b/>
          <w:bCs/>
          <w:sz w:val="24"/>
        </w:rPr>
        <w:t>资产文件：</w:t>
      </w:r>
      <w:r>
        <w:rPr>
          <w:rFonts w:hint="eastAsia" w:ascii="楷体_GB2312" w:eastAsia="楷体_GB2312" w:cs="楷体_GB2312"/>
          <w:sz w:val="24"/>
        </w:rPr>
        <w:t>就一项</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而言，系指在</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）前、</w:t>
      </w:r>
      <w:r>
        <w:rPr>
          <w:rFonts w:eastAsia="楷体_GB2312"/>
          <w:sz w:val="24"/>
        </w:rPr>
        <w:t>“</w:t>
      </w:r>
      <w:r>
        <w:rPr>
          <w:rFonts w:hint="eastAsia" w:ascii="楷体_GB2312" w:eastAsia="楷体_GB2312" w:cs="楷体_GB2312"/>
          <w:sz w:val="24"/>
        </w:rPr>
        <w:t>追加信托财产交付日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）前、</w:t>
      </w:r>
      <w:r>
        <w:rPr>
          <w:rFonts w:eastAsia="楷体_GB2312"/>
          <w:sz w:val="24"/>
        </w:rPr>
        <w:t>“</w:t>
      </w:r>
      <w:r>
        <w:rPr>
          <w:rFonts w:hint="eastAsia" w:ascii="楷体_GB2312" w:eastAsia="楷体_GB2312" w:cs="楷体_GB2312"/>
          <w:sz w:val="24"/>
        </w:rPr>
        <w:t>循环购买日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）前由</w:t>
      </w:r>
      <w:r>
        <w:rPr>
          <w:rFonts w:eastAsia="楷体_GB2312"/>
          <w:sz w:val="24"/>
        </w:rPr>
        <w:t>“</w:t>
      </w:r>
      <w:r>
        <w:rPr>
          <w:rFonts w:hint="eastAsia" w:ascii="楷体_GB2312" w:eastAsia="楷体_GB2312" w:cs="楷体_GB2312"/>
          <w:sz w:val="24"/>
        </w:rPr>
        <w:t>委托人</w:t>
      </w:r>
      <w:r>
        <w:rPr>
          <w:rFonts w:eastAsia="楷体_GB2312"/>
          <w:sz w:val="24"/>
        </w:rPr>
        <w:t>”</w:t>
      </w:r>
      <w:r>
        <w:rPr>
          <w:rFonts w:hint="eastAsia" w:ascii="楷体_GB2312" w:eastAsia="楷体_GB2312" w:cs="楷体_GB2312"/>
          <w:sz w:val="24"/>
        </w:rPr>
        <w:t>或其代理人，或在</w:t>
      </w:r>
      <w:r>
        <w:rPr>
          <w:rFonts w:eastAsia="楷体_GB2312"/>
          <w:sz w:val="24"/>
        </w:rPr>
        <w:t>“</w:t>
      </w:r>
      <w:r>
        <w:rPr>
          <w:rFonts w:hint="eastAsia" w:ascii="楷体_GB2312" w:eastAsia="楷体_GB2312" w:cs="楷体_GB2312"/>
          <w:sz w:val="24"/>
        </w:rPr>
        <w:t>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初始资产</w:t>
      </w:r>
      <w:r>
        <w:rPr>
          <w:rFonts w:eastAsia="楷体_GB2312"/>
          <w:sz w:val="24"/>
        </w:rPr>
        <w:t>”</w:t>
      </w:r>
      <w:r>
        <w:rPr>
          <w:rFonts w:hint="eastAsia" w:ascii="楷体_GB2312" w:eastAsia="楷体_GB2312" w:cs="楷体_GB2312"/>
          <w:sz w:val="24"/>
        </w:rPr>
        <w:t>）后、</w:t>
      </w:r>
      <w:r>
        <w:rPr>
          <w:rFonts w:eastAsia="楷体_GB2312"/>
          <w:sz w:val="24"/>
        </w:rPr>
        <w:t>“</w:t>
      </w:r>
      <w:r>
        <w:rPr>
          <w:rFonts w:hint="eastAsia" w:ascii="楷体_GB2312" w:eastAsia="楷体_GB2312" w:cs="楷体_GB2312"/>
          <w:sz w:val="24"/>
        </w:rPr>
        <w:t>追加信托财产交付日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追加资产</w:t>
      </w:r>
      <w:r>
        <w:rPr>
          <w:rFonts w:eastAsia="楷体_GB2312"/>
          <w:sz w:val="24"/>
        </w:rPr>
        <w:t>”</w:t>
      </w:r>
      <w:r>
        <w:rPr>
          <w:rFonts w:hint="eastAsia" w:ascii="楷体_GB2312" w:eastAsia="楷体_GB2312" w:cs="楷体_GB2312"/>
          <w:sz w:val="24"/>
        </w:rPr>
        <w:t>） 后、</w:t>
      </w:r>
      <w:r>
        <w:rPr>
          <w:rFonts w:eastAsia="楷体_GB2312"/>
          <w:sz w:val="24"/>
        </w:rPr>
        <w:t>“</w:t>
      </w:r>
      <w:r>
        <w:rPr>
          <w:rFonts w:hint="eastAsia" w:ascii="楷体_GB2312" w:eastAsia="楷体_GB2312" w:cs="楷体_GB2312"/>
          <w:sz w:val="24"/>
        </w:rPr>
        <w:t>循环购买日</w:t>
      </w:r>
      <w:r>
        <w:rPr>
          <w:rFonts w:eastAsia="楷体_GB2312"/>
          <w:sz w:val="24"/>
        </w:rPr>
        <w:t>”</w:t>
      </w:r>
      <w:r>
        <w:rPr>
          <w:rFonts w:hint="eastAsia" w:ascii="楷体_GB2312" w:eastAsia="楷体_GB2312" w:cs="楷体_GB2312"/>
          <w:sz w:val="24"/>
        </w:rPr>
        <w:t>（适用于</w:t>
      </w:r>
      <w:r>
        <w:rPr>
          <w:rFonts w:eastAsia="楷体_GB2312"/>
          <w:sz w:val="24"/>
        </w:rPr>
        <w:t>“</w:t>
      </w:r>
      <w:r>
        <w:rPr>
          <w:rFonts w:hint="eastAsia" w:ascii="楷体_GB2312" w:eastAsia="楷体_GB2312" w:cs="楷体_GB2312"/>
          <w:sz w:val="24"/>
        </w:rPr>
        <w:t>循环购买资产</w:t>
      </w:r>
      <w:r>
        <w:rPr>
          <w:rFonts w:eastAsia="楷体_GB2312"/>
          <w:sz w:val="24"/>
        </w:rPr>
        <w:t>”</w:t>
      </w:r>
      <w:r>
        <w:rPr>
          <w:rFonts w:hint="eastAsia" w:ascii="楷体_GB2312" w:eastAsia="楷体_GB2312" w:cs="楷体_GB2312"/>
          <w:sz w:val="24"/>
        </w:rPr>
        <w:t>） 后由</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或其代理人，持有或维护的、为支持或担保该等</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偿付的或与该等</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有关的、以实物形式或电子形式存在的所有文档、表单、凭证和其他任何性质的协议，包括但不限于</w:t>
      </w:r>
      <w:r>
        <w:rPr>
          <w:rFonts w:eastAsia="楷体_GB2312"/>
          <w:sz w:val="24"/>
        </w:rPr>
        <w:t>“</w:t>
      </w:r>
      <w:r>
        <w:rPr>
          <w:rFonts w:hint="eastAsia" w:ascii="楷体_GB2312" w:eastAsia="楷体_GB2312" w:cs="楷体_GB2312"/>
          <w:sz w:val="24"/>
        </w:rPr>
        <w:t>【业务合同】</w:t>
      </w:r>
      <w:r>
        <w:rPr>
          <w:rFonts w:eastAsia="楷体_GB2312"/>
          <w:sz w:val="24"/>
        </w:rPr>
        <w:t>”</w:t>
      </w:r>
      <w:r>
        <w:rPr>
          <w:rFonts w:hint="eastAsia" w:ascii="楷体_GB2312" w:eastAsia="楷体_GB2312" w:cs="楷体_GB2312"/>
          <w:sz w:val="24"/>
        </w:rPr>
        <w:t>、</w:t>
      </w:r>
      <w:r>
        <w:rPr>
          <w:rFonts w:eastAsia="楷体_GB2312"/>
          <w:sz w:val="24"/>
        </w:rPr>
        <w:t>“</w:t>
      </w:r>
      <w:r>
        <w:rPr>
          <w:rFonts w:hint="eastAsia" w:ascii="楷体_GB2312" w:eastAsia="楷体_GB2312" w:cs="楷体_GB2312"/>
          <w:sz w:val="24"/>
        </w:rPr>
        <w:t>【保证合同】</w:t>
      </w:r>
      <w:r>
        <w:rPr>
          <w:rFonts w:eastAsia="楷体_GB2312"/>
          <w:sz w:val="24"/>
        </w:rPr>
        <w:t>”</w:t>
      </w:r>
      <w:r>
        <w:rPr>
          <w:rFonts w:hint="eastAsia" w:ascii="楷体_GB2312" w:eastAsia="楷体_GB2312" w:cs="楷体_GB2312"/>
          <w:sz w:val="24"/>
        </w:rPr>
        <w:t xml:space="preserve">（如有）、 </w:t>
      </w:r>
      <w:r>
        <w:rPr>
          <w:rFonts w:eastAsia="楷体_GB2312"/>
          <w:sz w:val="24"/>
        </w:rPr>
        <w:t>“</w:t>
      </w:r>
      <w:r>
        <w:rPr>
          <w:rFonts w:hint="eastAsia" w:ascii="楷体_GB2312" w:eastAsia="楷体_GB2312" w:cs="楷体_GB2312"/>
          <w:sz w:val="24"/>
        </w:rPr>
        <w:t>收款期间</w:t>
      </w:r>
      <w:r>
        <w:rPr>
          <w:rFonts w:eastAsia="楷体_GB2312"/>
          <w:sz w:val="24"/>
        </w:rPr>
        <w:t>”</w:t>
      </w:r>
      <w:r>
        <w:rPr>
          <w:rFonts w:hint="eastAsia" w:ascii="楷体_GB2312" w:eastAsia="楷体_GB2312" w:cs="楷体_GB2312"/>
          <w:sz w:val="24"/>
        </w:rPr>
        <w:t>的有关记录、凭证、</w:t>
      </w:r>
      <w:r>
        <w:rPr>
          <w:rFonts w:eastAsia="楷体_GB2312"/>
          <w:sz w:val="24"/>
        </w:rPr>
        <w:t>“</w:t>
      </w:r>
      <w:r>
        <w:rPr>
          <w:rFonts w:hint="eastAsia" w:ascii="楷体_GB2312" w:eastAsia="楷体_GB2312" w:cs="楷体_GB2312"/>
          <w:sz w:val="24"/>
        </w:rPr>
        <w:t>资产服务机构</w:t>
      </w:r>
      <w:r>
        <w:rPr>
          <w:rFonts w:eastAsia="楷体_GB2312"/>
          <w:sz w:val="24"/>
        </w:rPr>
        <w:t>”</w:t>
      </w:r>
      <w:r>
        <w:rPr>
          <w:rFonts w:hint="eastAsia" w:ascii="楷体_GB2312" w:eastAsia="楷体_GB2312" w:cs="楷体_GB2312"/>
          <w:sz w:val="24"/>
        </w:rPr>
        <w:t>为提供</w:t>
      </w:r>
      <w:r>
        <w:rPr>
          <w:rFonts w:eastAsia="楷体_GB2312"/>
          <w:sz w:val="24"/>
        </w:rPr>
        <w:t>“</w:t>
      </w:r>
      <w:r>
        <w:rPr>
          <w:rFonts w:hint="eastAsia" w:ascii="楷体_GB2312" w:eastAsia="楷体_GB2312" w:cs="楷体_GB2312"/>
          <w:sz w:val="24"/>
        </w:rPr>
        <w:t>服务</w:t>
      </w:r>
      <w:r>
        <w:rPr>
          <w:rFonts w:eastAsia="楷体_GB2312"/>
          <w:sz w:val="24"/>
        </w:rPr>
        <w:t>”</w:t>
      </w:r>
      <w:r>
        <w:rPr>
          <w:rFonts w:hint="eastAsia" w:ascii="楷体_GB2312" w:eastAsia="楷体_GB2312" w:cs="楷体_GB2312"/>
          <w:sz w:val="24"/>
        </w:rPr>
        <w:t>而支出的费用的记录、凭证等。</w:t>
      </w:r>
    </w:p>
    <w:p>
      <w:pPr>
        <w:numPr>
          <w:ilvl w:val="1"/>
          <w:numId w:val="2"/>
        </w:numPr>
        <w:adjustRightInd w:val="0"/>
        <w:spacing w:beforeLines="50" w:afterLines="50" w:line="240" w:lineRule="atLeast"/>
        <w:ind w:left="851" w:hanging="851"/>
        <w:textAlignment w:val="baseline"/>
        <w:rPr>
          <w:rFonts w:eastAsia="楷体_GB2312"/>
          <w:b/>
          <w:bCs/>
          <w:sz w:val="24"/>
        </w:rPr>
      </w:pPr>
      <w:r>
        <w:rPr>
          <w:rFonts w:hint="eastAsia" w:ascii="楷体_GB2312" w:eastAsia="楷体_GB2312" w:cs="楷体_GB2312"/>
          <w:b/>
          <w:bCs/>
          <w:sz w:val="24"/>
        </w:rPr>
        <w:t>数据文件夹：</w:t>
      </w:r>
      <w:r>
        <w:rPr>
          <w:rFonts w:hint="eastAsia" w:ascii="楷体_GB2312" w:eastAsia="楷体_GB2312" w:cs="楷体_GB2312"/>
          <w:sz w:val="24"/>
        </w:rPr>
        <w:t>系指在</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委任</w:t>
      </w:r>
      <w:r>
        <w:rPr>
          <w:rFonts w:eastAsia="楷体_GB2312"/>
          <w:sz w:val="24"/>
        </w:rPr>
        <w:t>“</w:t>
      </w:r>
      <w:r>
        <w:rPr>
          <w:rFonts w:hint="eastAsia" w:ascii="楷体_GB2312" w:eastAsia="楷体_GB2312" w:cs="楷体_GB2312"/>
          <w:sz w:val="24"/>
        </w:rPr>
        <w:t>后备</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之后，由</w:t>
      </w:r>
      <w:r>
        <w:rPr>
          <w:rFonts w:eastAsia="楷体_GB2312"/>
          <w:sz w:val="24"/>
        </w:rPr>
        <w:t>“</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整理并递交给</w:t>
      </w:r>
      <w:r>
        <w:rPr>
          <w:rFonts w:eastAsia="楷体_GB2312"/>
          <w:sz w:val="24"/>
        </w:rPr>
        <w:t>“</w:t>
      </w:r>
      <w:r>
        <w:rPr>
          <w:rFonts w:hint="eastAsia" w:ascii="楷体_GB2312" w:eastAsia="楷体_GB2312" w:cs="楷体_GB2312"/>
          <w:sz w:val="24"/>
        </w:rPr>
        <w:t>受托人</w:t>
      </w:r>
      <w:r>
        <w:rPr>
          <w:rFonts w:eastAsia="楷体_GB2312"/>
          <w:sz w:val="24"/>
        </w:rPr>
        <w:t>”</w:t>
      </w:r>
      <w:r>
        <w:rPr>
          <w:rFonts w:hint="eastAsia" w:ascii="楷体_GB2312" w:eastAsia="楷体_GB2312" w:cs="楷体_GB2312"/>
          <w:sz w:val="24"/>
        </w:rPr>
        <w:t>和</w:t>
      </w:r>
      <w:r>
        <w:rPr>
          <w:rFonts w:eastAsia="楷体_GB2312"/>
          <w:sz w:val="24"/>
        </w:rPr>
        <w:t>“</w:t>
      </w:r>
      <w:r>
        <w:rPr>
          <w:rFonts w:hint="eastAsia" w:ascii="楷体_GB2312" w:eastAsia="楷体_GB2312" w:cs="楷体_GB2312"/>
          <w:sz w:val="24"/>
        </w:rPr>
        <w:t>后备</w:t>
      </w:r>
      <w:r>
        <w:rPr>
          <w:rFonts w:hint="eastAsia" w:ascii="楷体_GB2312" w:eastAsia="楷体_GB2312" w:cs="楷体_GB2312"/>
          <w:kern w:val="0"/>
          <w:sz w:val="24"/>
        </w:rPr>
        <w:t>资产</w:t>
      </w:r>
      <w:r>
        <w:rPr>
          <w:rFonts w:hint="eastAsia" w:ascii="楷体_GB2312" w:eastAsia="楷体_GB2312" w:cs="楷体_GB2312"/>
          <w:sz w:val="24"/>
        </w:rPr>
        <w:t>服务机构</w:t>
      </w:r>
      <w:r>
        <w:rPr>
          <w:rFonts w:eastAsia="楷体_GB2312"/>
          <w:sz w:val="24"/>
        </w:rPr>
        <w:t>”</w:t>
      </w:r>
      <w:r>
        <w:rPr>
          <w:rFonts w:hint="eastAsia" w:ascii="楷体_GB2312" w:eastAsia="楷体_GB2312" w:cs="楷体_GB2312"/>
          <w:sz w:val="24"/>
        </w:rPr>
        <w:t>的</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信息数据文档，该文档以为</w:t>
      </w:r>
      <w:r>
        <w:rPr>
          <w:rFonts w:eastAsia="楷体_GB2312"/>
          <w:sz w:val="24"/>
        </w:rPr>
        <w:t>“</w:t>
      </w:r>
      <w:r>
        <w:rPr>
          <w:rFonts w:hint="eastAsia" w:ascii="楷体_GB2312" w:eastAsia="楷体_GB2312" w:cs="楷体_GB2312"/>
          <w:sz w:val="24"/>
        </w:rPr>
        <w:t>资产</w:t>
      </w:r>
      <w:r>
        <w:rPr>
          <w:rFonts w:eastAsia="楷体_GB2312"/>
          <w:sz w:val="24"/>
        </w:rPr>
        <w:t>”</w:t>
      </w:r>
      <w:r>
        <w:rPr>
          <w:rFonts w:hint="eastAsia" w:ascii="楷体_GB2312" w:eastAsia="楷体_GB2312" w:cs="楷体_GB2312"/>
          <w:sz w:val="24"/>
        </w:rPr>
        <w:t>提供</w:t>
      </w:r>
      <w:r>
        <w:rPr>
          <w:rFonts w:eastAsia="楷体_GB2312"/>
          <w:sz w:val="24"/>
        </w:rPr>
        <w:t>“</w:t>
      </w:r>
      <w:r>
        <w:rPr>
          <w:rFonts w:hint="eastAsia" w:ascii="楷体_GB2312" w:eastAsia="楷体_GB2312" w:cs="楷体_GB2312"/>
          <w:sz w:val="24"/>
        </w:rPr>
        <w:t>服务</w:t>
      </w:r>
      <w:r>
        <w:rPr>
          <w:rFonts w:eastAsia="楷体_GB2312"/>
          <w:sz w:val="24"/>
        </w:rPr>
        <w:t>”</w:t>
      </w:r>
      <w:r>
        <w:rPr>
          <w:rFonts w:hint="eastAsia" w:ascii="楷体_GB2312" w:eastAsia="楷体_GB2312" w:cs="楷体_GB2312"/>
          <w:sz w:val="24"/>
        </w:rPr>
        <w:t>为目的。</w:t>
      </w:r>
    </w:p>
    <w:p>
      <w:pPr>
        <w:pStyle w:val="13"/>
        <w:spacing w:beforeLines="50" w:afterLines="50" w:line="240" w:lineRule="atLeast"/>
        <w:outlineLvl w:val="1"/>
        <w:rPr>
          <w:rFonts w:eastAsia="楷体_GB2312"/>
          <w:b/>
        </w:rPr>
      </w:pPr>
      <w:r>
        <w:rPr>
          <w:rFonts w:hint="eastAsia" w:ascii="楷体_GB2312" w:eastAsia="楷体_GB2312" w:cs="楷体_GB2312"/>
          <w:b/>
        </w:rPr>
        <w:t>（十）其他</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抵销：</w:t>
      </w:r>
      <w:r>
        <w:rPr>
          <w:rFonts w:hint="eastAsia" w:ascii="楷体_GB2312" w:eastAsia="楷体_GB2312" w:cs="楷体_GB2312"/>
          <w:bCs/>
          <w:sz w:val="24"/>
        </w:rPr>
        <w:t>系指</w:t>
      </w:r>
      <w:r>
        <w:rPr>
          <w:rFonts w:eastAsia="楷体_GB2312"/>
          <w:bCs/>
          <w:sz w:val="24"/>
        </w:rPr>
        <w:t>“</w:t>
      </w:r>
      <w:r>
        <w:rPr>
          <w:rFonts w:hint="eastAsia" w:ascii="楷体_GB2312" w:eastAsia="楷体_GB2312" w:cs="楷体_GB2312"/>
          <w:bCs/>
          <w:sz w:val="24"/>
        </w:rPr>
        <w:t>【债务人】</w:t>
      </w:r>
      <w:r>
        <w:rPr>
          <w:rFonts w:eastAsia="楷体_GB2312"/>
          <w:bCs/>
          <w:sz w:val="24"/>
        </w:rPr>
        <w:t>”</w:t>
      </w:r>
      <w:r>
        <w:rPr>
          <w:rFonts w:hint="eastAsia" w:ascii="楷体_GB2312" w:eastAsia="楷体_GB2312" w:cs="楷体_GB2312"/>
          <w:bCs/>
          <w:sz w:val="24"/>
        </w:rPr>
        <w:t>依据</w:t>
      </w:r>
      <w:r>
        <w:rPr>
          <w:rFonts w:eastAsia="楷体_GB2312"/>
          <w:bCs/>
          <w:sz w:val="24"/>
        </w:rPr>
        <w:t>“</w:t>
      </w:r>
      <w:r>
        <w:rPr>
          <w:rFonts w:hint="eastAsia" w:ascii="楷体_GB2312" w:eastAsia="楷体_GB2312" w:cs="楷体_GB2312"/>
          <w:bCs/>
          <w:sz w:val="24"/>
        </w:rPr>
        <w:t>中国</w:t>
      </w:r>
      <w:r>
        <w:rPr>
          <w:rFonts w:eastAsia="楷体_GB2312"/>
          <w:bCs/>
          <w:sz w:val="24"/>
        </w:rPr>
        <w:t>”“</w:t>
      </w:r>
      <w:r>
        <w:rPr>
          <w:rFonts w:hint="eastAsia" w:ascii="楷体_GB2312" w:eastAsia="楷体_GB2312" w:cs="楷体_GB2312"/>
          <w:bCs/>
          <w:sz w:val="24"/>
        </w:rPr>
        <w:t>法律</w:t>
      </w:r>
      <w:r>
        <w:rPr>
          <w:rFonts w:eastAsia="楷体_GB2312"/>
          <w:bCs/>
          <w:sz w:val="24"/>
        </w:rPr>
        <w:t>”</w:t>
      </w:r>
      <w:r>
        <w:rPr>
          <w:rFonts w:hint="eastAsia" w:ascii="楷体_GB2312" w:eastAsia="楷体_GB2312" w:cs="楷体_GB2312"/>
          <w:bCs/>
          <w:sz w:val="24"/>
        </w:rPr>
        <w:t>行使抵销权且被抵销债权属于</w:t>
      </w:r>
      <w:r>
        <w:rPr>
          <w:rFonts w:eastAsia="楷体_GB2312"/>
          <w:bCs/>
          <w:sz w:val="24"/>
        </w:rPr>
        <w:t>“</w:t>
      </w:r>
      <w:r>
        <w:rPr>
          <w:rFonts w:hint="eastAsia" w:ascii="楷体_GB2312" w:eastAsia="楷体_GB2312" w:cs="楷体_GB2312"/>
          <w:bCs/>
          <w:sz w:val="24"/>
        </w:rPr>
        <w:t>委托人</w:t>
      </w:r>
      <w:r>
        <w:rPr>
          <w:rFonts w:eastAsia="楷体_GB2312"/>
          <w:bCs/>
          <w:sz w:val="24"/>
        </w:rPr>
        <w:t>”</w:t>
      </w:r>
      <w:r>
        <w:rPr>
          <w:rFonts w:hint="eastAsia" w:ascii="楷体_GB2312" w:eastAsia="楷体_GB2312" w:cs="楷体_GB2312"/>
          <w:bCs/>
          <w:sz w:val="24"/>
        </w:rPr>
        <w:t>已交付设立</w:t>
      </w:r>
      <w:r>
        <w:rPr>
          <w:rFonts w:eastAsia="楷体_GB2312"/>
          <w:bCs/>
          <w:sz w:val="24"/>
        </w:rPr>
        <w:t>“</w:t>
      </w:r>
      <w:r>
        <w:rPr>
          <w:rFonts w:hint="eastAsia" w:ascii="楷体_GB2312" w:eastAsia="楷体_GB2312" w:cs="楷体_GB2312"/>
          <w:bCs/>
          <w:sz w:val="24"/>
        </w:rPr>
        <w:t>信托</w:t>
      </w:r>
      <w:r>
        <w:rPr>
          <w:rFonts w:eastAsia="楷体_GB2312"/>
          <w:bCs/>
          <w:sz w:val="24"/>
        </w:rPr>
        <w:t>”</w:t>
      </w:r>
      <w:r>
        <w:rPr>
          <w:rFonts w:hint="eastAsia" w:ascii="楷体_GB2312" w:eastAsia="楷体_GB2312" w:cs="楷体_GB2312"/>
          <w:bCs/>
          <w:sz w:val="24"/>
        </w:rPr>
        <w:t>的</w:t>
      </w:r>
      <w:r>
        <w:rPr>
          <w:rFonts w:eastAsia="楷体_GB2312"/>
          <w:bCs/>
          <w:sz w:val="24"/>
        </w:rPr>
        <w:t>“</w:t>
      </w:r>
      <w:r>
        <w:rPr>
          <w:rFonts w:hint="eastAsia" w:ascii="楷体_GB2312" w:eastAsia="楷体_GB2312" w:cs="楷体_GB2312"/>
          <w:bCs/>
          <w:sz w:val="24"/>
        </w:rPr>
        <w:t>信托财产</w:t>
      </w:r>
      <w:r>
        <w:rPr>
          <w:rFonts w:eastAsia="楷体_GB2312"/>
          <w:bCs/>
          <w:sz w:val="24"/>
        </w:rPr>
        <w:t>”</w:t>
      </w:r>
      <w:r>
        <w:rPr>
          <w:rFonts w:hint="eastAsia" w:ascii="楷体_GB2312" w:eastAsia="楷体_GB2312" w:cs="楷体_GB2312"/>
          <w:bCs/>
          <w:sz w:val="24"/>
        </w:rPr>
        <w:t>。</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优先支出上限：</w:t>
      </w:r>
      <w:r>
        <w:rPr>
          <w:rFonts w:hint="eastAsia" w:ascii="楷体_GB2312" w:eastAsia="楷体_GB2312" w:cs="楷体_GB2312"/>
          <w:bCs/>
          <w:sz w:val="24"/>
        </w:rPr>
        <w:t>系指根据</w:t>
      </w:r>
      <w:r>
        <w:rPr>
          <w:rFonts w:eastAsia="楷体_GB2312"/>
          <w:bCs/>
          <w:sz w:val="24"/>
        </w:rPr>
        <w:t>“</w:t>
      </w:r>
      <w:r>
        <w:rPr>
          <w:rFonts w:hint="eastAsia" w:ascii="楷体_GB2312" w:eastAsia="楷体_GB2312" w:cs="楷体_GB2312"/>
          <w:bCs/>
          <w:sz w:val="24"/>
        </w:rPr>
        <w:t>《信托合同》</w:t>
      </w:r>
      <w:r>
        <w:rPr>
          <w:rFonts w:eastAsia="楷体_GB2312"/>
          <w:bCs/>
          <w:sz w:val="24"/>
        </w:rPr>
        <w:t>”</w:t>
      </w:r>
      <w:r>
        <w:rPr>
          <w:rFonts w:hint="eastAsia" w:ascii="楷体_GB2312" w:eastAsia="楷体_GB2312" w:cs="楷体_GB2312"/>
          <w:bCs/>
          <w:sz w:val="24"/>
        </w:rPr>
        <w:t>的约定，在各</w:t>
      </w:r>
      <w:r>
        <w:rPr>
          <w:rFonts w:eastAsia="楷体_GB2312"/>
          <w:bCs/>
          <w:sz w:val="24"/>
        </w:rPr>
        <w:t>“</w:t>
      </w:r>
      <w:r>
        <w:rPr>
          <w:rFonts w:hint="eastAsia" w:ascii="楷体_GB2312" w:eastAsia="楷体_GB2312" w:cs="楷体_GB2312"/>
          <w:bCs/>
          <w:sz w:val="24"/>
        </w:rPr>
        <w:t>信托分配日</w:t>
      </w:r>
      <w:r>
        <w:rPr>
          <w:rFonts w:eastAsia="楷体_GB2312"/>
          <w:bCs/>
          <w:sz w:val="24"/>
        </w:rPr>
        <w:t>”</w:t>
      </w:r>
      <w:r>
        <w:rPr>
          <w:rFonts w:hint="eastAsia" w:ascii="楷体_GB2312" w:eastAsia="楷体_GB2312" w:cs="楷体_GB2312"/>
          <w:bCs/>
          <w:sz w:val="24"/>
        </w:rPr>
        <w:t>可以优先于</w:t>
      </w:r>
      <w:r>
        <w:rPr>
          <w:rFonts w:eastAsia="楷体_GB2312"/>
          <w:bCs/>
          <w:sz w:val="24"/>
        </w:rPr>
        <w:t>“</w:t>
      </w:r>
      <w:r>
        <w:rPr>
          <w:rFonts w:hint="eastAsia" w:ascii="楷体_GB2312" w:eastAsia="楷体_GB2312" w:cs="楷体_GB2312"/>
          <w:bCs/>
          <w:sz w:val="24"/>
        </w:rPr>
        <w:t>优先级资产支持商业票据</w:t>
      </w:r>
      <w:r>
        <w:rPr>
          <w:rFonts w:eastAsia="楷体_GB2312"/>
          <w:bCs/>
          <w:sz w:val="24"/>
        </w:rPr>
        <w:t>”</w:t>
      </w:r>
      <w:r>
        <w:rPr>
          <w:rFonts w:hint="eastAsia" w:ascii="楷体_GB2312" w:eastAsia="楷体_GB2312" w:cs="楷体_GB2312"/>
          <w:bCs/>
          <w:sz w:val="24"/>
        </w:rPr>
        <w:t>利息进行支付的</w:t>
      </w:r>
      <w:r>
        <w:rPr>
          <w:rFonts w:eastAsia="楷体_GB2312"/>
          <w:bCs/>
          <w:sz w:val="24"/>
        </w:rPr>
        <w:t>“</w:t>
      </w:r>
      <w:r>
        <w:rPr>
          <w:rFonts w:hint="eastAsia" w:ascii="楷体_GB2312" w:eastAsia="楷体_GB2312" w:cs="楷体_GB2312"/>
          <w:bCs/>
          <w:sz w:val="24"/>
        </w:rPr>
        <w:t>费用支出</w:t>
      </w:r>
      <w:r>
        <w:rPr>
          <w:rFonts w:eastAsia="楷体_GB2312"/>
          <w:bCs/>
          <w:sz w:val="24"/>
        </w:rPr>
        <w:t>”</w:t>
      </w:r>
      <w:r>
        <w:rPr>
          <w:rFonts w:hint="eastAsia" w:ascii="楷体_GB2312" w:eastAsia="楷体_GB2312" w:cs="楷体_GB2312"/>
          <w:bCs/>
          <w:sz w:val="24"/>
        </w:rPr>
        <w:t>的限额，即人民币【】万元。</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中国：</w:t>
      </w:r>
      <w:r>
        <w:rPr>
          <w:rFonts w:hint="eastAsia" w:ascii="楷体_GB2312" w:eastAsia="楷体_GB2312" w:cs="楷体_GB2312"/>
          <w:bCs/>
          <w:sz w:val="24"/>
        </w:rPr>
        <w:t>系指中华人民共和国（为本文件之目的，不包括香港特别行政区、澳门特别行政区和台湾地区）。</w:t>
      </w:r>
    </w:p>
    <w:p>
      <w:pPr>
        <w:numPr>
          <w:ilvl w:val="1"/>
          <w:numId w:val="2"/>
        </w:numPr>
        <w:adjustRightInd w:val="0"/>
        <w:spacing w:beforeLines="50" w:afterLines="50" w:line="240" w:lineRule="atLeast"/>
        <w:ind w:left="851" w:hanging="851"/>
        <w:textAlignment w:val="baseline"/>
        <w:rPr>
          <w:rFonts w:eastAsia="楷体_GB2312"/>
          <w:bCs/>
          <w:sz w:val="24"/>
        </w:rPr>
      </w:pPr>
      <w:r>
        <w:rPr>
          <w:rFonts w:hint="eastAsia" w:ascii="楷体_GB2312" w:eastAsia="楷体_GB2312" w:cs="楷体_GB2312"/>
          <w:b/>
          <w:bCs/>
          <w:sz w:val="24"/>
        </w:rPr>
        <w:t>法律：</w:t>
      </w:r>
      <w:r>
        <w:rPr>
          <w:rFonts w:hint="eastAsia" w:ascii="楷体_GB2312" w:eastAsia="楷体_GB2312" w:cs="楷体_GB2312"/>
          <w:bCs/>
          <w:sz w:val="24"/>
        </w:rPr>
        <w:t>系指中国的法律、行政法规、部门规章、地方法规以及其他规范性文件。</w:t>
      </w:r>
    </w:p>
    <w:p>
      <w:pPr>
        <w:numPr>
          <w:ilvl w:val="1"/>
          <w:numId w:val="2"/>
        </w:numPr>
        <w:adjustRightInd w:val="0"/>
        <w:spacing w:beforeLines="50" w:afterLines="50" w:line="240" w:lineRule="atLeast"/>
        <w:ind w:left="851" w:hanging="851"/>
        <w:textAlignment w:val="baseline"/>
        <w:rPr>
          <w:rFonts w:ascii="楷体_GB2312" w:eastAsia="楷体_GB2312" w:cs="楷体_GB2312"/>
          <w:sz w:val="24"/>
        </w:rPr>
      </w:pPr>
      <w:r>
        <w:rPr>
          <w:rFonts w:hint="eastAsia" w:ascii="楷体_GB2312" w:eastAsia="楷体_GB2312" w:cs="楷体_GB2312"/>
          <w:b/>
          <w:bCs/>
          <w:sz w:val="24"/>
        </w:rPr>
        <w:t>元：</w:t>
      </w:r>
      <w:r>
        <w:rPr>
          <w:rFonts w:hint="eastAsia" w:ascii="楷体_GB2312" w:eastAsia="楷体_GB2312" w:cs="楷体_GB2312"/>
          <w:sz w:val="24"/>
        </w:rPr>
        <w:t>系指人民币元。</w:t>
      </w:r>
    </w:p>
    <w:p>
      <w:pPr>
        <w:rPr>
          <w:rFonts w:ascii="楷体_GB2312" w:eastAsia="楷体_GB2312" w:cs="楷体_GB2312"/>
          <w:sz w:val="24"/>
        </w:rPr>
      </w:pPr>
      <w:r>
        <w:rPr>
          <w:rFonts w:hint="eastAsia" w:ascii="楷体_GB2312" w:eastAsia="楷体_GB2312" w:cs="楷体_GB2312"/>
          <w:sz w:val="24"/>
        </w:rPr>
        <w:br w:type="page"/>
      </w:r>
    </w:p>
    <w:p>
      <w:pPr>
        <w:pStyle w:val="24"/>
        <w:spacing w:beforeLines="50" w:afterLines="50" w:line="240" w:lineRule="atLeast"/>
        <w:rPr>
          <w:rFonts w:eastAsia="楷体_GB2312"/>
          <w:szCs w:val="24"/>
          <w:lang w:eastAsia="zh-CN"/>
        </w:rPr>
      </w:pPr>
      <w:bookmarkStart w:id="43" w:name="_Toc78377175"/>
      <w:r>
        <w:rPr>
          <w:rFonts w:eastAsia="楷体_GB2312"/>
          <w:szCs w:val="24"/>
          <w:lang w:eastAsia="zh-CN"/>
        </w:rPr>
        <w:t>二、法律条款</w:t>
      </w:r>
      <w:bookmarkEnd w:id="43"/>
    </w:p>
    <w:p>
      <w:pPr>
        <w:pStyle w:val="19"/>
        <w:spacing w:beforeLines="50" w:afterLines="50" w:line="240" w:lineRule="atLeast"/>
        <w:rPr>
          <w:rFonts w:eastAsia="楷体_GB2312"/>
          <w:szCs w:val="24"/>
          <w:lang w:eastAsia="zh-CN"/>
        </w:rPr>
      </w:pPr>
      <w:r>
        <w:rPr>
          <w:rFonts w:eastAsia="楷体_GB2312"/>
          <w:szCs w:val="24"/>
          <w:lang w:eastAsia="zh-CN"/>
        </w:rPr>
        <w:t>在“交易文件”中对法律条款的援引，应包括对这些法律条款的立法修订、重新立法或针对这些法律条款制订的法规或规章。</w:t>
      </w:r>
    </w:p>
    <w:p>
      <w:pPr>
        <w:pStyle w:val="24"/>
        <w:spacing w:beforeLines="50" w:afterLines="50" w:line="240" w:lineRule="atLeast"/>
        <w:rPr>
          <w:rFonts w:eastAsia="楷体_GB2312"/>
          <w:szCs w:val="24"/>
          <w:lang w:eastAsia="zh-CN"/>
        </w:rPr>
      </w:pPr>
      <w:bookmarkStart w:id="44" w:name="_Toc78377176"/>
      <w:r>
        <w:rPr>
          <w:rFonts w:eastAsia="楷体_GB2312"/>
          <w:szCs w:val="24"/>
          <w:lang w:eastAsia="zh-CN"/>
        </w:rPr>
        <w:t>三、修改</w:t>
      </w:r>
      <w:bookmarkEnd w:id="44"/>
    </w:p>
    <w:p>
      <w:pPr>
        <w:pStyle w:val="19"/>
        <w:spacing w:beforeLines="50" w:afterLines="50" w:line="240" w:lineRule="atLeast"/>
        <w:rPr>
          <w:rFonts w:eastAsia="楷体_GB2312"/>
          <w:szCs w:val="24"/>
          <w:lang w:eastAsia="zh-CN"/>
        </w:rPr>
      </w:pPr>
      <w:r>
        <w:rPr>
          <w:rFonts w:eastAsia="楷体_GB2312"/>
          <w:szCs w:val="24"/>
          <w:lang w:eastAsia="zh-CN"/>
        </w:rPr>
        <w:t>在“交易文件”中对其他“交易文件”以及协议、契约或文件的援引（包括本“《主定义表》”和“交易文件”的附件），应包括对该“交易文件”、协议、契约或文件（部分或全部）的修订、补充、确认、取代或更新以及据此签署的协议、契约或文件。</w:t>
      </w:r>
    </w:p>
    <w:p>
      <w:pPr>
        <w:pStyle w:val="24"/>
        <w:spacing w:beforeLines="50" w:afterLines="50" w:line="240" w:lineRule="atLeast"/>
        <w:rPr>
          <w:rFonts w:eastAsia="楷体_GB2312"/>
          <w:szCs w:val="24"/>
          <w:lang w:eastAsia="zh-CN"/>
        </w:rPr>
      </w:pPr>
      <w:bookmarkStart w:id="45" w:name="_Toc78377177"/>
      <w:r>
        <w:rPr>
          <w:rFonts w:eastAsia="楷体_GB2312"/>
          <w:szCs w:val="24"/>
          <w:lang w:eastAsia="zh-CN"/>
        </w:rPr>
        <w:t>四、条款</w:t>
      </w:r>
      <w:bookmarkEnd w:id="45"/>
    </w:p>
    <w:p>
      <w:pPr>
        <w:pStyle w:val="19"/>
        <w:spacing w:beforeLines="50" w:afterLines="50" w:line="240" w:lineRule="atLeast"/>
        <w:rPr>
          <w:rFonts w:eastAsia="楷体_GB2312"/>
          <w:szCs w:val="24"/>
          <w:lang w:eastAsia="zh-CN"/>
        </w:rPr>
      </w:pPr>
      <w:r>
        <w:rPr>
          <w:rFonts w:eastAsia="楷体_GB2312"/>
          <w:szCs w:val="24"/>
          <w:lang w:eastAsia="zh-CN"/>
        </w:rPr>
        <w:t>除非上下文另有规定，“交易文件”中提及的条款和附件均指该文件的相应条款、附</w:t>
      </w:r>
      <w:bookmarkStart w:id="46" w:name="_Toc173860445"/>
      <w:bookmarkStart w:id="47" w:name="_Toc149842436"/>
      <w:r>
        <w:rPr>
          <w:rFonts w:eastAsia="楷体_GB2312"/>
          <w:szCs w:val="24"/>
          <w:lang w:eastAsia="zh-CN"/>
        </w:rPr>
        <w:t>表和附件，提</w:t>
      </w:r>
      <w:bookmarkEnd w:id="46"/>
      <w:bookmarkEnd w:id="47"/>
      <w:r>
        <w:rPr>
          <w:rFonts w:eastAsia="楷体_GB2312"/>
          <w:szCs w:val="24"/>
          <w:lang w:eastAsia="zh-CN"/>
        </w:rPr>
        <w:t>及</w:t>
      </w:r>
      <w:bookmarkStart w:id="48" w:name="_DV_M811"/>
      <w:bookmarkEnd w:id="48"/>
      <w:r>
        <w:rPr>
          <w:rFonts w:eastAsia="楷体_GB2312"/>
          <w:szCs w:val="24"/>
          <w:lang w:eastAsia="zh-CN"/>
        </w:rPr>
        <w:t>的段落应指该段落所体现的条款。</w:t>
      </w:r>
    </w:p>
    <w:p>
      <w:pPr>
        <w:pStyle w:val="24"/>
        <w:spacing w:beforeLines="50" w:afterLines="50" w:line="240" w:lineRule="atLeast"/>
        <w:rPr>
          <w:rFonts w:eastAsia="楷体_GB2312"/>
          <w:szCs w:val="24"/>
          <w:lang w:eastAsia="zh-CN"/>
        </w:rPr>
      </w:pPr>
      <w:bookmarkStart w:id="49" w:name="_Toc78377178"/>
      <w:r>
        <w:rPr>
          <w:rFonts w:eastAsia="楷体_GB2312"/>
          <w:szCs w:val="24"/>
          <w:lang w:eastAsia="zh-CN"/>
        </w:rPr>
        <w:t>五、附件</w:t>
      </w:r>
      <w:bookmarkEnd w:id="49"/>
    </w:p>
    <w:p>
      <w:pPr>
        <w:pStyle w:val="19"/>
        <w:spacing w:beforeLines="50" w:afterLines="50" w:line="240" w:lineRule="atLeast"/>
        <w:rPr>
          <w:rFonts w:eastAsia="楷体_GB2312"/>
          <w:szCs w:val="24"/>
          <w:lang w:eastAsia="zh-CN"/>
        </w:rPr>
      </w:pPr>
      <w:r>
        <w:rPr>
          <w:rFonts w:eastAsia="楷体_GB2312"/>
          <w:szCs w:val="24"/>
          <w:lang w:eastAsia="zh-CN"/>
        </w:rPr>
        <w:t>“交易文件”的附件、附录和附表构成该“交易文件”的一部分，并应与该“交</w:t>
      </w:r>
      <w:bookmarkStart w:id="50" w:name="_DV_M812"/>
      <w:bookmarkEnd w:id="50"/>
      <w:bookmarkStart w:id="51" w:name="_Toc173860446"/>
      <w:bookmarkStart w:id="52" w:name="_Toc80116304"/>
      <w:bookmarkStart w:id="53" w:name="_Toc149842437"/>
      <w:bookmarkStart w:id="54" w:name="_Toc121814285"/>
      <w:bookmarkStart w:id="55" w:name="_Toc524495441"/>
      <w:r>
        <w:rPr>
          <w:rFonts w:eastAsia="楷体_GB2312"/>
          <w:szCs w:val="24"/>
          <w:lang w:eastAsia="zh-CN"/>
        </w:rPr>
        <w:t>易文件”</w:t>
      </w:r>
      <w:bookmarkEnd w:id="51"/>
      <w:bookmarkEnd w:id="52"/>
      <w:bookmarkEnd w:id="53"/>
      <w:bookmarkEnd w:id="54"/>
      <w:bookmarkEnd w:id="55"/>
      <w:r>
        <w:rPr>
          <w:rFonts w:eastAsia="楷体_GB2312"/>
          <w:szCs w:val="24"/>
          <w:lang w:eastAsia="zh-CN"/>
        </w:rPr>
        <w:t>正</w:t>
      </w:r>
      <w:bookmarkStart w:id="56" w:name="_DV_M813"/>
      <w:bookmarkEnd w:id="56"/>
      <w:r>
        <w:rPr>
          <w:rFonts w:eastAsia="楷体_GB2312"/>
          <w:szCs w:val="24"/>
          <w:lang w:eastAsia="zh-CN"/>
        </w:rPr>
        <w:t>文具有相同的效力。对“交易文件”的援引应包括其附件、附录和附表。如“交易文件”已签署的附件、附录和附表与该“交易文件”正文约定不一致，应以已签署的附件、附录和附表为准。</w:t>
      </w:r>
    </w:p>
    <w:p>
      <w:pPr>
        <w:pStyle w:val="24"/>
        <w:spacing w:beforeLines="50" w:afterLines="50" w:line="240" w:lineRule="atLeast"/>
        <w:rPr>
          <w:rFonts w:eastAsia="楷体_GB2312"/>
          <w:szCs w:val="24"/>
          <w:lang w:eastAsia="zh-CN"/>
        </w:rPr>
      </w:pPr>
      <w:bookmarkStart w:id="57" w:name="_Toc78377179"/>
      <w:r>
        <w:rPr>
          <w:rFonts w:eastAsia="楷体_GB2312"/>
          <w:szCs w:val="24"/>
          <w:lang w:eastAsia="zh-CN"/>
        </w:rPr>
        <w:t>六、标题</w:t>
      </w:r>
      <w:bookmarkEnd w:id="57"/>
    </w:p>
    <w:p>
      <w:pPr>
        <w:pStyle w:val="19"/>
        <w:spacing w:beforeLines="50" w:afterLines="50" w:line="240" w:lineRule="atLeast"/>
        <w:rPr>
          <w:rFonts w:eastAsia="楷体_GB2312"/>
          <w:szCs w:val="24"/>
          <w:lang w:eastAsia="zh-CN"/>
        </w:rPr>
      </w:pPr>
      <w:r>
        <w:rPr>
          <w:rFonts w:eastAsia="楷体_GB2312"/>
          <w:szCs w:val="24"/>
          <w:lang w:eastAsia="zh-CN"/>
        </w:rPr>
        <w:t>“交易文件”中的标题仅为援引方便而设。</w:t>
      </w:r>
    </w:p>
    <w:p>
      <w:pPr>
        <w:pStyle w:val="24"/>
        <w:spacing w:beforeLines="50" w:afterLines="50" w:line="240" w:lineRule="atLeast"/>
        <w:rPr>
          <w:rFonts w:eastAsia="楷体_GB2312"/>
          <w:szCs w:val="24"/>
          <w:lang w:eastAsia="zh-CN"/>
        </w:rPr>
      </w:pPr>
      <w:bookmarkStart w:id="58" w:name="_Toc78377180"/>
      <w:r>
        <w:rPr>
          <w:rFonts w:eastAsia="楷体_GB2312"/>
          <w:szCs w:val="24"/>
          <w:lang w:eastAsia="zh-CN"/>
        </w:rPr>
        <w:t>七、</w:t>
      </w:r>
      <w:bookmarkStart w:id="59" w:name="_DV_M814"/>
      <w:bookmarkEnd w:id="59"/>
      <w:bookmarkStart w:id="60" w:name="_Toc524495442"/>
      <w:bookmarkStart w:id="61" w:name="_Toc80116305"/>
      <w:r>
        <w:rPr>
          <w:rFonts w:eastAsia="楷体_GB2312"/>
          <w:szCs w:val="24"/>
          <w:lang w:eastAsia="zh-CN"/>
        </w:rPr>
        <w:t>同</w:t>
      </w:r>
      <w:bookmarkStart w:id="62" w:name="_Toc121814286"/>
      <w:bookmarkStart w:id="63" w:name="_Toc173860447"/>
      <w:bookmarkStart w:id="64" w:name="_Toc149842438"/>
      <w:r>
        <w:rPr>
          <w:rFonts w:eastAsia="楷体_GB2312"/>
          <w:szCs w:val="24"/>
          <w:lang w:eastAsia="zh-CN"/>
        </w:rPr>
        <w:t>意与弃权</w:t>
      </w:r>
      <w:bookmarkEnd w:id="58"/>
      <w:bookmarkEnd w:id="60"/>
      <w:bookmarkEnd w:id="61"/>
      <w:bookmarkEnd w:id="62"/>
      <w:bookmarkEnd w:id="63"/>
      <w:bookmarkEnd w:id="64"/>
    </w:p>
    <w:p>
      <w:pPr>
        <w:pStyle w:val="19"/>
        <w:spacing w:beforeLines="50" w:afterLines="50" w:line="240" w:lineRule="atLeast"/>
        <w:rPr>
          <w:rFonts w:eastAsia="楷体_GB2312"/>
          <w:szCs w:val="24"/>
          <w:lang w:eastAsia="zh-CN"/>
        </w:rPr>
      </w:pPr>
      <w:bookmarkStart w:id="65" w:name="_DV_M815"/>
      <w:bookmarkEnd w:id="65"/>
      <w:r>
        <w:rPr>
          <w:rFonts w:eastAsia="楷体_GB2312"/>
          <w:szCs w:val="24"/>
          <w:lang w:eastAsia="zh-CN"/>
        </w:rPr>
        <w:t>“交易文件”提及的一方的同意，应指该方的书面同意，且“交易文件”提及的一方的弃权，应指该方对某行为或事件的书面弃权。</w:t>
      </w:r>
    </w:p>
    <w:p>
      <w:pPr>
        <w:pStyle w:val="24"/>
        <w:spacing w:beforeLines="50" w:afterLines="50" w:line="240" w:lineRule="atLeast"/>
        <w:rPr>
          <w:rFonts w:eastAsia="楷体_GB2312"/>
          <w:szCs w:val="24"/>
          <w:lang w:eastAsia="zh-CN"/>
        </w:rPr>
      </w:pPr>
      <w:bookmarkStart w:id="66" w:name="_Toc78377181"/>
      <w:r>
        <w:rPr>
          <w:rFonts w:eastAsia="楷体_GB2312"/>
          <w:szCs w:val="24"/>
          <w:lang w:eastAsia="zh-CN"/>
        </w:rPr>
        <w:t>八</w:t>
      </w:r>
      <w:bookmarkStart w:id="67" w:name="_DV_M816"/>
      <w:bookmarkEnd w:id="67"/>
      <w:bookmarkStart w:id="68" w:name="_Toc149842439"/>
      <w:bookmarkStart w:id="69" w:name="_Toc80116306"/>
      <w:bookmarkStart w:id="70" w:name="_Toc121814287"/>
      <w:bookmarkStart w:id="71" w:name="_Toc524495443"/>
      <w:bookmarkStart w:id="72" w:name="_Toc173860448"/>
      <w:r>
        <w:rPr>
          <w:rFonts w:eastAsia="楷体_GB2312"/>
          <w:szCs w:val="24"/>
          <w:lang w:eastAsia="zh-CN"/>
        </w:rPr>
        <w:t>、继任机</w:t>
      </w:r>
      <w:bookmarkEnd w:id="68"/>
      <w:bookmarkEnd w:id="69"/>
      <w:bookmarkEnd w:id="70"/>
      <w:bookmarkEnd w:id="71"/>
      <w:bookmarkEnd w:id="72"/>
      <w:r>
        <w:rPr>
          <w:rFonts w:eastAsia="楷体_GB2312"/>
          <w:szCs w:val="24"/>
          <w:lang w:eastAsia="zh-CN"/>
        </w:rPr>
        <w:t>构</w:t>
      </w:r>
      <w:bookmarkEnd w:id="66"/>
      <w:bookmarkStart w:id="73" w:name="_DV_M817"/>
      <w:bookmarkEnd w:id="73"/>
    </w:p>
    <w:p>
      <w:pPr>
        <w:pStyle w:val="19"/>
        <w:spacing w:beforeLines="50" w:afterLines="50" w:line="240" w:lineRule="atLeast"/>
        <w:rPr>
          <w:rFonts w:eastAsia="楷体_GB2312"/>
          <w:szCs w:val="24"/>
          <w:lang w:eastAsia="zh-CN"/>
        </w:rPr>
      </w:pPr>
      <w:r>
        <w:rPr>
          <w:rFonts w:eastAsia="楷体_GB2312"/>
          <w:szCs w:val="24"/>
          <w:lang w:eastAsia="zh-CN"/>
        </w:rPr>
        <w:t>除非上下文另有规定，在“交易文件”中提及“交易文件”的一方时，应包括其继任机构（人），无论是通过担保还是通过其他方式。</w:t>
      </w:r>
    </w:p>
    <w:p>
      <w:pPr>
        <w:pStyle w:val="24"/>
        <w:spacing w:beforeLines="50" w:afterLines="50" w:line="240" w:lineRule="atLeast"/>
        <w:rPr>
          <w:rFonts w:eastAsia="楷体_GB2312"/>
          <w:szCs w:val="24"/>
          <w:lang w:eastAsia="zh-CN"/>
        </w:rPr>
      </w:pPr>
      <w:bookmarkStart w:id="74" w:name="_Toc78377182"/>
      <w:r>
        <w:rPr>
          <w:rFonts w:eastAsia="楷体_GB2312"/>
          <w:szCs w:val="24"/>
          <w:lang w:eastAsia="zh-CN"/>
        </w:rPr>
        <w:t>九、变动</w:t>
      </w:r>
      <w:bookmarkEnd w:id="74"/>
    </w:p>
    <w:p>
      <w:pPr>
        <w:pStyle w:val="19"/>
        <w:spacing w:beforeLines="50" w:afterLines="50" w:line="240" w:lineRule="atLeast"/>
        <w:rPr>
          <w:rFonts w:eastAsia="楷体_GB2312"/>
          <w:szCs w:val="24"/>
          <w:lang w:eastAsia="zh-CN"/>
        </w:rPr>
      </w:pPr>
      <w:r>
        <w:rPr>
          <w:rFonts w:eastAsia="楷体_GB2312"/>
          <w:szCs w:val="24"/>
          <w:lang w:eastAsia="zh-CN"/>
        </w:rPr>
        <w:t>除非签署本“《主定义表》”的各方书面同意并且事先通知了“评级机构”，不得对本“《主定义表》”做出任何变动。</w:t>
      </w:r>
    </w:p>
    <w:p>
      <w:pPr>
        <w:spacing w:beforeLines="50" w:afterLines="50" w:line="240" w:lineRule="atLeast"/>
        <w:outlineLvl w:val="0"/>
        <w:rPr>
          <w:rFonts w:eastAsia="楷体_GB2312"/>
          <w:b/>
          <w:sz w:val="24"/>
        </w:rPr>
      </w:pPr>
      <w:bookmarkStart w:id="75" w:name="_Toc78377183"/>
      <w:r>
        <w:rPr>
          <w:rFonts w:eastAsia="楷体_GB2312"/>
          <w:b/>
          <w:sz w:val="24"/>
        </w:rPr>
        <w:t>十、生效</w:t>
      </w:r>
      <w:bookmarkEnd w:id="75"/>
    </w:p>
    <w:p>
      <w:pPr>
        <w:spacing w:beforeLines="50" w:afterLines="50" w:line="240" w:lineRule="atLeast"/>
        <w:rPr>
          <w:rFonts w:eastAsia="楷体_GB2312"/>
          <w:sz w:val="24"/>
        </w:rPr>
      </w:pPr>
      <w:bookmarkStart w:id="76" w:name="_DV_M818"/>
      <w:bookmarkEnd w:id="76"/>
      <w:bookmarkStart w:id="77" w:name="_Toc80116307"/>
      <w:bookmarkStart w:id="78" w:name="_Toc173860449"/>
      <w:bookmarkStart w:id="79" w:name="_Toc121814288"/>
      <w:bookmarkStart w:id="80" w:name="_Toc149842440"/>
      <w:bookmarkStart w:id="81" w:name="_Toc524495444"/>
      <w:r>
        <w:rPr>
          <w:rFonts w:eastAsia="楷体_GB2312"/>
          <w:sz w:val="24"/>
        </w:rPr>
        <w:t>本“《主</w:t>
      </w:r>
      <w:bookmarkEnd w:id="77"/>
      <w:bookmarkEnd w:id="78"/>
      <w:bookmarkEnd w:id="79"/>
      <w:bookmarkEnd w:id="80"/>
      <w:bookmarkEnd w:id="81"/>
      <w:r>
        <w:rPr>
          <w:rFonts w:eastAsia="楷体_GB2312"/>
          <w:sz w:val="24"/>
        </w:rPr>
        <w:t>定</w:t>
      </w:r>
      <w:bookmarkStart w:id="82" w:name="_DV_M819"/>
      <w:bookmarkEnd w:id="82"/>
      <w:r>
        <w:rPr>
          <w:rFonts w:eastAsia="楷体_GB2312"/>
          <w:sz w:val="24"/>
        </w:rPr>
        <w:t>义表》”经“【发起机构简称】”和“【受托</w:t>
      </w:r>
      <w:bookmarkStart w:id="83" w:name="_DV_M820"/>
      <w:bookmarkEnd w:id="83"/>
      <w:bookmarkStart w:id="84" w:name="_Toc173860450"/>
      <w:bookmarkStart w:id="85" w:name="_Toc149842441"/>
      <w:bookmarkStart w:id="86" w:name="_Toc121814289"/>
      <w:bookmarkStart w:id="87" w:name="_Toc80116308"/>
      <w:bookmarkStart w:id="88" w:name="_Toc524495445"/>
      <w:r>
        <w:rPr>
          <w:rFonts w:eastAsia="楷体_GB2312"/>
          <w:sz w:val="24"/>
        </w:rPr>
        <w:t>机构简称】”的</w:t>
      </w:r>
      <w:bookmarkEnd w:id="84"/>
      <w:bookmarkEnd w:id="85"/>
      <w:bookmarkEnd w:id="86"/>
      <w:bookmarkEnd w:id="87"/>
      <w:r>
        <w:rPr>
          <w:rFonts w:eastAsia="楷体_GB2312"/>
          <w:sz w:val="24"/>
        </w:rPr>
        <w:t>法</w:t>
      </w:r>
      <w:bookmarkStart w:id="89" w:name="_DV_M821"/>
      <w:bookmarkEnd w:id="89"/>
      <w:r>
        <w:rPr>
          <w:rFonts w:eastAsia="楷体_GB2312"/>
          <w:sz w:val="24"/>
        </w:rPr>
        <w:t>定代表人或其授权签署人签署并加盖公章或合同专用章之日起生效。</w:t>
      </w:r>
      <w:r>
        <w:rPr>
          <w:rFonts w:hint="eastAsia" w:eastAsia="楷体_GB2312"/>
          <w:sz w:val="24"/>
        </w:rPr>
        <w:t>修改事项应经</w:t>
      </w:r>
      <w:r>
        <w:rPr>
          <w:rFonts w:eastAsia="楷体_GB2312"/>
          <w:sz w:val="24"/>
        </w:rPr>
        <w:t>“</w:t>
      </w:r>
      <w:r>
        <w:rPr>
          <w:rFonts w:hint="eastAsia" w:eastAsia="楷体_GB2312"/>
          <w:sz w:val="24"/>
        </w:rPr>
        <w:t>资产支持商业票据持有人会议</w:t>
      </w:r>
      <w:r>
        <w:rPr>
          <w:rFonts w:eastAsia="楷体_GB2312"/>
          <w:sz w:val="24"/>
        </w:rPr>
        <w:t>”</w:t>
      </w:r>
      <w:r>
        <w:rPr>
          <w:rFonts w:hint="eastAsia" w:eastAsia="楷体_GB2312"/>
          <w:sz w:val="24"/>
        </w:rPr>
        <w:t>决议通过的，应事</w:t>
      </w:r>
      <w:bookmarkEnd w:id="88"/>
      <w:bookmarkStart w:id="90" w:name="_DV_M825"/>
      <w:bookmarkEnd w:id="90"/>
      <w:bookmarkStart w:id="91" w:name="_DV_M826"/>
      <w:bookmarkEnd w:id="91"/>
      <w:bookmarkStart w:id="92" w:name="_DV_M823"/>
      <w:bookmarkEnd w:id="92"/>
      <w:bookmarkStart w:id="93" w:name="_DV_M822"/>
      <w:bookmarkEnd w:id="93"/>
      <w:bookmarkStart w:id="94" w:name="_DV_M824"/>
      <w:bookmarkEnd w:id="94"/>
      <w:bookmarkStart w:id="95" w:name="_Toc121814290"/>
      <w:bookmarkStart w:id="96" w:name="_Toc80116311"/>
      <w:bookmarkStart w:id="97" w:name="_Toc149842442"/>
      <w:bookmarkStart w:id="98" w:name="_Toc173860451"/>
      <w:bookmarkStart w:id="99" w:name="_Toc524495447"/>
      <w:r>
        <w:rPr>
          <w:rFonts w:hint="eastAsia" w:eastAsia="楷体_GB2312"/>
          <w:sz w:val="24"/>
        </w:rPr>
        <w:t>先经</w:t>
      </w:r>
      <w:r>
        <w:rPr>
          <w:rFonts w:eastAsia="楷体_GB2312"/>
          <w:sz w:val="24"/>
        </w:rPr>
        <w:t>“</w:t>
      </w:r>
      <w:r>
        <w:rPr>
          <w:rFonts w:hint="eastAsia" w:eastAsia="楷体_GB2312"/>
          <w:sz w:val="24"/>
        </w:rPr>
        <w:t>资产支</w:t>
      </w:r>
      <w:bookmarkEnd w:id="95"/>
      <w:bookmarkEnd w:id="96"/>
      <w:bookmarkEnd w:id="97"/>
      <w:bookmarkEnd w:id="98"/>
      <w:bookmarkEnd w:id="99"/>
      <w:r>
        <w:rPr>
          <w:rFonts w:hint="eastAsia" w:eastAsia="楷体_GB2312"/>
          <w:sz w:val="24"/>
        </w:rPr>
        <w:t>持</w:t>
      </w:r>
      <w:bookmarkStart w:id="100" w:name="_DV_M827"/>
      <w:bookmarkEnd w:id="100"/>
      <w:r>
        <w:rPr>
          <w:rFonts w:hint="eastAsia" w:eastAsia="楷体_GB2312"/>
          <w:sz w:val="24"/>
        </w:rPr>
        <w:t>商业票据持有人会议</w:t>
      </w:r>
      <w:r>
        <w:rPr>
          <w:rFonts w:eastAsia="楷体_GB2312"/>
          <w:sz w:val="24"/>
        </w:rPr>
        <w:t>”</w:t>
      </w:r>
      <w:r>
        <w:rPr>
          <w:rFonts w:hint="eastAsia" w:eastAsia="楷体_GB2312"/>
          <w:sz w:val="24"/>
        </w:rPr>
        <w:t>决议通过。</w:t>
      </w:r>
    </w:p>
    <w:p>
      <w:pPr>
        <w:spacing w:beforeLines="50" w:afterLines="50" w:line="240" w:lineRule="atLeast"/>
        <w:outlineLvl w:val="0"/>
        <w:rPr>
          <w:rFonts w:eastAsia="楷体_GB2312"/>
          <w:b/>
          <w:sz w:val="24"/>
        </w:rPr>
      </w:pPr>
      <w:bookmarkStart w:id="101" w:name="_Toc78377184"/>
      <w:r>
        <w:rPr>
          <w:rFonts w:eastAsia="楷体_GB2312"/>
          <w:b/>
          <w:sz w:val="24"/>
        </w:rPr>
        <w:t>十一、文本</w:t>
      </w:r>
      <w:bookmarkEnd w:id="101"/>
    </w:p>
    <w:p>
      <w:pPr>
        <w:spacing w:beforeLines="50" w:afterLines="50" w:line="240" w:lineRule="atLeast"/>
        <w:rPr>
          <w:rFonts w:eastAsia="楷体_GB2312"/>
          <w:sz w:val="24"/>
        </w:rPr>
      </w:pPr>
      <w:r>
        <w:rPr>
          <w:rFonts w:eastAsia="楷体_GB2312"/>
          <w:sz w:val="24"/>
        </w:rPr>
        <w:t>本“《主定义表》”一式【】份，具有同等法律效力；“【发起机构简称】”持【】份</w:t>
      </w:r>
      <w:bookmarkStart w:id="102" w:name="_DV_M828"/>
      <w:bookmarkEnd w:id="102"/>
      <w:bookmarkStart w:id="103" w:name="_Toc524495448"/>
      <w:bookmarkStart w:id="104" w:name="_Toc121814291"/>
      <w:bookmarkStart w:id="105" w:name="_Toc80116312"/>
      <w:bookmarkStart w:id="106" w:name="_Toc149842443"/>
      <w:bookmarkStart w:id="107" w:name="_Toc173860452"/>
      <w:r>
        <w:rPr>
          <w:rFonts w:eastAsia="楷体_GB2312"/>
          <w:sz w:val="24"/>
        </w:rPr>
        <w:t>，“【受</w:t>
      </w:r>
      <w:bookmarkEnd w:id="103"/>
      <w:bookmarkEnd w:id="104"/>
      <w:bookmarkEnd w:id="105"/>
      <w:bookmarkEnd w:id="106"/>
      <w:bookmarkEnd w:id="107"/>
      <w:r>
        <w:rPr>
          <w:rFonts w:eastAsia="楷体_GB2312"/>
          <w:sz w:val="24"/>
        </w:rPr>
        <w:t>托</w:t>
      </w:r>
      <w:bookmarkStart w:id="108" w:name="_DV_M829"/>
      <w:bookmarkEnd w:id="108"/>
      <w:r>
        <w:rPr>
          <w:rFonts w:eastAsia="楷体_GB2312"/>
          <w:sz w:val="24"/>
        </w:rPr>
        <w:t>机构简称】”持【】份，其余合同用于留存于“受托人”处用于办理相关手续。</w:t>
      </w:r>
    </w:p>
    <w:p>
      <w:pPr>
        <w:spacing w:beforeLines="50" w:afterLines="50" w:line="240" w:lineRule="atLeast"/>
        <w:rPr>
          <w:rFonts w:eastAsia="楷体_GB2312"/>
          <w:i/>
          <w:sz w:val="24"/>
        </w:rPr>
      </w:pPr>
      <w:r>
        <w:rPr>
          <w:rFonts w:eastAsia="楷体_GB2312"/>
          <w:i/>
          <w:sz w:val="24"/>
        </w:rPr>
        <w:t>（以下无正文）</w:t>
      </w:r>
    </w:p>
    <w:p>
      <w:pPr>
        <w:spacing w:beforeLines="50" w:afterLines="50" w:line="240" w:lineRule="atLeast"/>
        <w:rPr>
          <w:rFonts w:eastAsia="楷体_GB2312"/>
          <w:kern w:val="0"/>
          <w:sz w:val="24"/>
        </w:rPr>
      </w:pPr>
      <w:r>
        <w:rPr>
          <w:rFonts w:eastAsia="楷体_GB2312"/>
        </w:rPr>
        <w:br w:type="page"/>
      </w:r>
      <w:r>
        <w:rPr>
          <w:rFonts w:eastAsia="楷体_GB2312"/>
          <w:kern w:val="0"/>
          <w:sz w:val="24"/>
        </w:rPr>
        <w:t>本页为编号为【主定义表编号】的《【信托名称】主定义表》签字页，无正文）</w:t>
      </w:r>
    </w:p>
    <w:p>
      <w:pPr>
        <w:spacing w:beforeLines="50" w:afterLines="50"/>
        <w:ind w:firstLine="482"/>
        <w:rPr>
          <w:rFonts w:eastAsia="楷体_GB2312"/>
          <w:b/>
          <w:sz w:val="24"/>
        </w:rPr>
      </w:pPr>
    </w:p>
    <w:p>
      <w:pPr>
        <w:spacing w:beforeLines="50" w:afterLines="50" w:line="380" w:lineRule="atLeast"/>
        <w:jc w:val="center"/>
        <w:rPr>
          <w:rFonts w:eastAsia="楷体_GB2312"/>
          <w:b/>
          <w:sz w:val="32"/>
          <w:szCs w:val="32"/>
        </w:rPr>
      </w:pPr>
      <w:r>
        <w:rPr>
          <w:rFonts w:eastAsia="楷体_GB2312"/>
          <w:b/>
          <w:sz w:val="32"/>
          <w:szCs w:val="32"/>
        </w:rPr>
        <w:t>【发起机构全称】</w:t>
      </w:r>
    </w:p>
    <w:p>
      <w:pPr>
        <w:spacing w:beforeLines="50" w:afterLines="50" w:line="380" w:lineRule="atLeast"/>
        <w:jc w:val="center"/>
        <w:rPr>
          <w:rFonts w:eastAsia="楷体_GB2312"/>
          <w:b/>
          <w:sz w:val="32"/>
          <w:szCs w:val="32"/>
        </w:rPr>
      </w:pPr>
      <w:r>
        <w:rPr>
          <w:rFonts w:eastAsia="楷体_GB2312"/>
          <w:b/>
          <w:sz w:val="32"/>
          <w:szCs w:val="32"/>
        </w:rPr>
        <w:t>与</w:t>
      </w:r>
    </w:p>
    <w:p>
      <w:pPr>
        <w:spacing w:beforeLines="50" w:afterLines="50" w:line="380" w:lineRule="atLeast"/>
        <w:jc w:val="center"/>
        <w:rPr>
          <w:rFonts w:eastAsia="楷体_GB2312"/>
          <w:b/>
          <w:sz w:val="32"/>
          <w:szCs w:val="32"/>
        </w:rPr>
      </w:pPr>
      <w:r>
        <w:rPr>
          <w:rFonts w:eastAsia="楷体_GB2312"/>
          <w:b/>
          <w:sz w:val="32"/>
          <w:szCs w:val="32"/>
        </w:rPr>
        <w:t>【受托机构全称】</w:t>
      </w:r>
    </w:p>
    <w:p>
      <w:pPr>
        <w:spacing w:beforeLines="50" w:afterLines="50"/>
        <w:ind w:firstLine="482"/>
        <w:rPr>
          <w:rFonts w:eastAsia="楷体_GB2312"/>
          <w:b/>
          <w:sz w:val="24"/>
        </w:rPr>
      </w:pPr>
    </w:p>
    <w:p>
      <w:pPr>
        <w:spacing w:beforeLines="50" w:afterLines="50"/>
        <w:jc w:val="center"/>
        <w:rPr>
          <w:rFonts w:eastAsia="楷体_GB2312"/>
          <w:b/>
          <w:bCs/>
          <w:sz w:val="36"/>
          <w:szCs w:val="36"/>
        </w:rPr>
      </w:pPr>
      <w:r>
        <w:rPr>
          <w:rFonts w:eastAsia="楷体_GB2312"/>
          <w:b/>
          <w:bCs/>
          <w:sz w:val="36"/>
          <w:szCs w:val="36"/>
        </w:rPr>
        <w:t>【信托名称】</w:t>
      </w:r>
    </w:p>
    <w:p>
      <w:pPr>
        <w:spacing w:beforeLines="50" w:afterLines="50"/>
        <w:jc w:val="center"/>
        <w:rPr>
          <w:rFonts w:eastAsia="楷体_GB2312"/>
          <w:b/>
          <w:sz w:val="36"/>
          <w:szCs w:val="36"/>
        </w:rPr>
      </w:pPr>
      <w:r>
        <w:rPr>
          <w:rFonts w:eastAsia="楷体_GB2312"/>
          <w:b/>
          <w:bCs/>
          <w:sz w:val="36"/>
          <w:szCs w:val="36"/>
        </w:rPr>
        <w:t>主</w:t>
      </w:r>
      <w:r>
        <w:rPr>
          <w:rFonts w:eastAsia="楷体_GB2312"/>
          <w:b/>
          <w:sz w:val="36"/>
          <w:szCs w:val="36"/>
        </w:rPr>
        <w:t>定义表</w:t>
      </w:r>
    </w:p>
    <w:p>
      <w:pPr>
        <w:pStyle w:val="5"/>
        <w:spacing w:beforeLines="50" w:afterLines="50" w:line="380" w:lineRule="atLeast"/>
        <w:rPr>
          <w:rFonts w:eastAsia="楷体_GB2312"/>
          <w:b/>
          <w:sz w:val="24"/>
        </w:rPr>
      </w:pPr>
    </w:p>
    <w:p>
      <w:pPr>
        <w:pStyle w:val="5"/>
        <w:spacing w:beforeLines="50" w:afterLines="50" w:line="380" w:lineRule="atLeast"/>
        <w:jc w:val="center"/>
        <w:rPr>
          <w:rFonts w:eastAsia="楷体_GB2312"/>
          <w:b/>
          <w:sz w:val="32"/>
        </w:rPr>
      </w:pPr>
      <w:r>
        <w:rPr>
          <w:rFonts w:eastAsia="楷体_GB2312"/>
          <w:b/>
          <w:sz w:val="32"/>
        </w:rPr>
        <w:t>签署页</w:t>
      </w:r>
    </w:p>
    <w:p>
      <w:pPr>
        <w:pStyle w:val="5"/>
        <w:spacing w:beforeLines="50" w:afterLines="50" w:line="380" w:lineRule="atLeast"/>
        <w:rPr>
          <w:rFonts w:eastAsia="楷体_GB2312"/>
          <w:b/>
          <w:sz w:val="24"/>
        </w:rPr>
      </w:pPr>
    </w:p>
    <w:p>
      <w:pPr>
        <w:pStyle w:val="5"/>
        <w:spacing w:beforeLines="50" w:afterLines="50" w:line="380" w:lineRule="atLeast"/>
        <w:rPr>
          <w:rFonts w:eastAsia="楷体_GB2312"/>
          <w:b/>
          <w:sz w:val="30"/>
          <w:szCs w:val="30"/>
        </w:rPr>
      </w:pPr>
    </w:p>
    <w:p>
      <w:pPr>
        <w:pStyle w:val="5"/>
        <w:spacing w:beforeLines="50" w:afterLines="50" w:line="380" w:lineRule="atLeast"/>
        <w:rPr>
          <w:rFonts w:eastAsia="楷体_GB2312"/>
          <w:b/>
          <w:sz w:val="30"/>
          <w:szCs w:val="30"/>
        </w:rPr>
      </w:pPr>
    </w:p>
    <w:p>
      <w:pPr>
        <w:pStyle w:val="5"/>
        <w:spacing w:beforeLines="50" w:afterLines="50" w:line="380" w:lineRule="atLeast"/>
        <w:rPr>
          <w:rFonts w:eastAsia="楷体_GB2312"/>
          <w:b/>
          <w:sz w:val="30"/>
          <w:szCs w:val="30"/>
        </w:rPr>
      </w:pPr>
      <w:r>
        <w:rPr>
          <w:rFonts w:eastAsia="楷体_GB2312"/>
          <w:b/>
          <w:sz w:val="30"/>
          <w:szCs w:val="30"/>
        </w:rPr>
        <w:t>【发起机构全称】（公章）</w:t>
      </w:r>
    </w:p>
    <w:p>
      <w:pPr>
        <w:pStyle w:val="5"/>
        <w:spacing w:beforeLines="50" w:afterLines="50" w:line="380" w:lineRule="atLeast"/>
        <w:rPr>
          <w:rFonts w:eastAsia="楷体_GB2312"/>
          <w:w w:val="0"/>
          <w:sz w:val="24"/>
        </w:rPr>
      </w:pPr>
      <w:r>
        <w:rPr>
          <w:rFonts w:eastAsia="楷体_GB2312"/>
          <w:b/>
          <w:sz w:val="24"/>
        </w:rPr>
        <w:t>（作为委托人、发起机构和资产服务机构）</w:t>
      </w:r>
    </w:p>
    <w:p>
      <w:pPr>
        <w:pStyle w:val="5"/>
        <w:spacing w:beforeLines="50" w:afterLines="50" w:line="380" w:lineRule="atLeast"/>
        <w:rPr>
          <w:rFonts w:eastAsia="楷体_GB2312"/>
          <w:sz w:val="24"/>
        </w:rPr>
      </w:pPr>
    </w:p>
    <w:p>
      <w:pPr>
        <w:pStyle w:val="5"/>
        <w:spacing w:beforeLines="50" w:afterLines="50" w:line="380" w:lineRule="atLeast"/>
        <w:rPr>
          <w:rFonts w:eastAsia="楷体_GB2312"/>
          <w:sz w:val="24"/>
        </w:rPr>
      </w:pPr>
    </w:p>
    <w:p>
      <w:pPr>
        <w:pStyle w:val="5"/>
        <w:spacing w:beforeLines="50" w:afterLines="50" w:line="380" w:lineRule="atLeast"/>
        <w:rPr>
          <w:rFonts w:eastAsia="楷体_GB2312"/>
          <w:sz w:val="28"/>
          <w:szCs w:val="28"/>
        </w:rPr>
      </w:pPr>
      <w:r>
        <w:rPr>
          <w:rFonts w:eastAsia="楷体_GB2312"/>
          <w:sz w:val="28"/>
          <w:szCs w:val="28"/>
        </w:rPr>
        <w:t>法定代表人或授权签署人（签署）：</w:t>
      </w:r>
    </w:p>
    <w:p>
      <w:pPr>
        <w:pStyle w:val="5"/>
        <w:spacing w:after="0" w:line="380" w:lineRule="atLeast"/>
        <w:rPr>
          <w:rFonts w:eastAsia="楷体_GB2312"/>
          <w:sz w:val="24"/>
        </w:rPr>
      </w:pPr>
    </w:p>
    <w:p>
      <w:pPr>
        <w:pStyle w:val="5"/>
        <w:spacing w:after="0" w:line="380" w:lineRule="atLeast"/>
        <w:rPr>
          <w:rFonts w:eastAsia="楷体_GB2312"/>
          <w:b/>
          <w:sz w:val="30"/>
          <w:szCs w:val="30"/>
        </w:rPr>
      </w:pPr>
    </w:p>
    <w:p>
      <w:pPr>
        <w:spacing w:line="380" w:lineRule="atLeast"/>
        <w:rPr>
          <w:rFonts w:eastAsia="楷体_GB2312"/>
          <w:sz w:val="24"/>
        </w:rPr>
      </w:pPr>
    </w:p>
    <w:p>
      <w:pPr>
        <w:spacing w:beforeLines="50" w:afterLines="50" w:line="380" w:lineRule="exact"/>
        <w:rPr>
          <w:rFonts w:eastAsia="楷体_GB2312"/>
          <w:kern w:val="0"/>
          <w:sz w:val="24"/>
        </w:rPr>
      </w:pPr>
      <w:r>
        <w:rPr>
          <w:rFonts w:eastAsia="楷体_GB2312"/>
        </w:rPr>
        <w:br w:type="page"/>
      </w:r>
      <w:r>
        <w:rPr>
          <w:rFonts w:eastAsia="楷体_GB2312"/>
          <w:kern w:val="0"/>
          <w:sz w:val="24"/>
        </w:rPr>
        <w:t>（本页为编号为【主定义表编号】的《【信托名称】主定义表》签字页，无正文）</w:t>
      </w:r>
    </w:p>
    <w:p>
      <w:pPr>
        <w:spacing w:beforeLines="50" w:afterLines="50"/>
        <w:ind w:firstLine="482"/>
        <w:rPr>
          <w:rFonts w:eastAsia="楷体_GB2312"/>
          <w:b/>
          <w:sz w:val="32"/>
          <w:szCs w:val="32"/>
        </w:rPr>
      </w:pPr>
    </w:p>
    <w:p>
      <w:pPr>
        <w:spacing w:beforeLines="50" w:afterLines="50" w:line="380" w:lineRule="atLeast"/>
        <w:jc w:val="center"/>
        <w:rPr>
          <w:rFonts w:eastAsia="楷体_GB2312"/>
          <w:b/>
          <w:sz w:val="32"/>
          <w:szCs w:val="32"/>
        </w:rPr>
      </w:pPr>
      <w:r>
        <w:rPr>
          <w:rFonts w:eastAsia="楷体_GB2312"/>
          <w:b/>
          <w:sz w:val="32"/>
          <w:szCs w:val="32"/>
        </w:rPr>
        <w:t>【发起机构全称】</w:t>
      </w:r>
    </w:p>
    <w:p>
      <w:pPr>
        <w:spacing w:beforeLines="50" w:afterLines="50" w:line="380" w:lineRule="atLeast"/>
        <w:jc w:val="center"/>
        <w:rPr>
          <w:rFonts w:eastAsia="楷体_GB2312"/>
          <w:b/>
          <w:sz w:val="32"/>
          <w:szCs w:val="32"/>
        </w:rPr>
      </w:pPr>
      <w:r>
        <w:rPr>
          <w:rFonts w:eastAsia="楷体_GB2312"/>
          <w:b/>
          <w:sz w:val="32"/>
          <w:szCs w:val="32"/>
        </w:rPr>
        <w:t>与</w:t>
      </w:r>
    </w:p>
    <w:p>
      <w:pPr>
        <w:spacing w:beforeLines="50" w:afterLines="50" w:line="380" w:lineRule="atLeast"/>
        <w:jc w:val="center"/>
        <w:rPr>
          <w:rFonts w:eastAsia="楷体_GB2312"/>
          <w:b/>
          <w:sz w:val="32"/>
          <w:szCs w:val="32"/>
        </w:rPr>
      </w:pPr>
      <w:r>
        <w:rPr>
          <w:rFonts w:eastAsia="楷体_GB2312"/>
          <w:b/>
          <w:sz w:val="32"/>
          <w:szCs w:val="32"/>
        </w:rPr>
        <w:t>【受托机构全称】</w:t>
      </w:r>
    </w:p>
    <w:p>
      <w:pPr>
        <w:spacing w:beforeLines="50" w:afterLines="50"/>
        <w:ind w:firstLine="482"/>
        <w:rPr>
          <w:rFonts w:eastAsia="楷体_GB2312"/>
          <w:b/>
          <w:sz w:val="24"/>
        </w:rPr>
      </w:pPr>
    </w:p>
    <w:p>
      <w:pPr>
        <w:spacing w:beforeLines="50" w:afterLines="50"/>
        <w:jc w:val="center"/>
        <w:rPr>
          <w:rFonts w:eastAsia="楷体_GB2312"/>
          <w:b/>
          <w:bCs/>
          <w:sz w:val="32"/>
          <w:szCs w:val="32"/>
        </w:rPr>
      </w:pPr>
      <w:r>
        <w:rPr>
          <w:rFonts w:eastAsia="楷体_GB2312"/>
          <w:b/>
          <w:bCs/>
          <w:sz w:val="32"/>
          <w:szCs w:val="32"/>
        </w:rPr>
        <w:t>【信托名称】</w:t>
      </w:r>
    </w:p>
    <w:p>
      <w:pPr>
        <w:spacing w:beforeLines="50" w:afterLines="50"/>
        <w:jc w:val="center"/>
        <w:rPr>
          <w:rFonts w:eastAsia="楷体_GB2312"/>
          <w:b/>
          <w:sz w:val="32"/>
          <w:szCs w:val="32"/>
        </w:rPr>
      </w:pPr>
      <w:r>
        <w:rPr>
          <w:rFonts w:eastAsia="楷体_GB2312"/>
          <w:b/>
          <w:bCs/>
          <w:sz w:val="32"/>
          <w:szCs w:val="32"/>
        </w:rPr>
        <w:t>主</w:t>
      </w:r>
      <w:r>
        <w:rPr>
          <w:rFonts w:eastAsia="楷体_GB2312"/>
          <w:b/>
          <w:sz w:val="32"/>
          <w:szCs w:val="32"/>
        </w:rPr>
        <w:t>定义表</w:t>
      </w:r>
    </w:p>
    <w:p>
      <w:pPr>
        <w:pStyle w:val="5"/>
        <w:spacing w:beforeLines="50" w:afterLines="50" w:line="380" w:lineRule="atLeast"/>
        <w:rPr>
          <w:rFonts w:eastAsia="楷体_GB2312"/>
          <w:b/>
          <w:sz w:val="24"/>
        </w:rPr>
      </w:pPr>
    </w:p>
    <w:p>
      <w:pPr>
        <w:pStyle w:val="5"/>
        <w:spacing w:beforeLines="50" w:afterLines="50" w:line="380" w:lineRule="atLeast"/>
        <w:jc w:val="center"/>
        <w:rPr>
          <w:rFonts w:eastAsia="楷体_GB2312"/>
          <w:b/>
          <w:sz w:val="32"/>
          <w:szCs w:val="32"/>
        </w:rPr>
      </w:pPr>
      <w:r>
        <w:rPr>
          <w:rFonts w:eastAsia="楷体_GB2312"/>
          <w:b/>
          <w:sz w:val="32"/>
          <w:szCs w:val="32"/>
        </w:rPr>
        <w:t>签署页</w:t>
      </w:r>
    </w:p>
    <w:p>
      <w:pPr>
        <w:pStyle w:val="5"/>
        <w:spacing w:beforeLines="50" w:afterLines="50" w:line="380" w:lineRule="atLeast"/>
        <w:rPr>
          <w:rFonts w:eastAsia="楷体_GB2312"/>
          <w:b/>
          <w:sz w:val="24"/>
        </w:rPr>
      </w:pPr>
    </w:p>
    <w:p>
      <w:pPr>
        <w:pStyle w:val="5"/>
        <w:spacing w:beforeLines="50" w:afterLines="50" w:line="380" w:lineRule="atLeast"/>
        <w:rPr>
          <w:rFonts w:eastAsia="楷体_GB2312"/>
          <w:b/>
          <w:sz w:val="24"/>
        </w:rPr>
      </w:pPr>
    </w:p>
    <w:p>
      <w:pPr>
        <w:pStyle w:val="5"/>
        <w:spacing w:beforeLines="50" w:afterLines="50" w:line="380" w:lineRule="atLeast"/>
        <w:rPr>
          <w:rFonts w:eastAsia="楷体_GB2312"/>
          <w:b/>
          <w:sz w:val="24"/>
        </w:rPr>
      </w:pPr>
    </w:p>
    <w:p>
      <w:pPr>
        <w:pStyle w:val="5"/>
        <w:spacing w:beforeLines="50" w:afterLines="50" w:line="380" w:lineRule="atLeast"/>
        <w:rPr>
          <w:rFonts w:eastAsia="楷体_GB2312"/>
          <w:w w:val="0"/>
          <w:sz w:val="24"/>
        </w:rPr>
      </w:pPr>
      <w:r>
        <w:rPr>
          <w:rFonts w:eastAsia="楷体_GB2312"/>
          <w:b/>
          <w:sz w:val="30"/>
          <w:szCs w:val="30"/>
        </w:rPr>
        <w:t>【受托机构全称】（公章或合同专用章）</w:t>
      </w:r>
      <w:r>
        <w:rPr>
          <w:rFonts w:eastAsia="楷体_GB2312"/>
          <w:b/>
          <w:sz w:val="24"/>
        </w:rPr>
        <w:br w:type="textWrapping" w:clear="all"/>
      </w:r>
      <w:r>
        <w:rPr>
          <w:rFonts w:eastAsia="楷体_GB2312"/>
          <w:b/>
          <w:sz w:val="24"/>
        </w:rPr>
        <w:t>（作为受托人、受托机构和发行人）</w:t>
      </w:r>
    </w:p>
    <w:p>
      <w:pPr>
        <w:pStyle w:val="5"/>
        <w:spacing w:beforeLines="50" w:afterLines="50" w:line="380" w:lineRule="atLeast"/>
        <w:rPr>
          <w:rFonts w:eastAsia="楷体_GB2312"/>
          <w:sz w:val="24"/>
        </w:rPr>
      </w:pPr>
    </w:p>
    <w:p>
      <w:pPr>
        <w:pStyle w:val="5"/>
        <w:spacing w:beforeLines="50" w:afterLines="50" w:line="380" w:lineRule="atLeast"/>
        <w:rPr>
          <w:rFonts w:eastAsia="楷体_GB2312"/>
          <w:sz w:val="24"/>
        </w:rPr>
      </w:pPr>
    </w:p>
    <w:p>
      <w:pPr>
        <w:pStyle w:val="5"/>
      </w:pPr>
      <w:r>
        <w:rPr>
          <w:rFonts w:eastAsia="楷体_GB2312"/>
          <w:sz w:val="28"/>
          <w:szCs w:val="30"/>
        </w:rPr>
        <w:t>法定代表人或授权签署人（签署）：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BCFE4"/>
    <w:multiLevelType w:val="multilevel"/>
    <w:tmpl w:val="808BCFE4"/>
    <w:lvl w:ilvl="0" w:tentative="0">
      <w:start w:val="1"/>
      <w:numFmt w:val="lowerLetter"/>
      <w:lvlText w:val="(%1)"/>
      <w:lvlJc w:val="left"/>
      <w:pPr>
        <w:tabs>
          <w:tab w:val="left" w:pos="942"/>
        </w:tabs>
        <w:ind w:left="942" w:hanging="375"/>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843E9288"/>
    <w:multiLevelType w:val="multilevel"/>
    <w:tmpl w:val="843E9288"/>
    <w:lvl w:ilvl="0" w:tentative="0">
      <w:start w:val="1"/>
      <w:numFmt w:val="lowerLetter"/>
      <w:lvlText w:val="(%1)"/>
      <w:lvlJc w:val="left"/>
      <w:pPr>
        <w:tabs>
          <w:tab w:val="left" w:pos="942"/>
        </w:tabs>
        <w:ind w:left="942" w:hanging="375"/>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9513A1FE"/>
    <w:multiLevelType w:val="multilevel"/>
    <w:tmpl w:val="9513A1FE"/>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3">
    <w:nsid w:val="A16EB638"/>
    <w:multiLevelType w:val="multilevel"/>
    <w:tmpl w:val="A16EB638"/>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4">
    <w:nsid w:val="A7301FAB"/>
    <w:multiLevelType w:val="multilevel"/>
    <w:tmpl w:val="A7301FAB"/>
    <w:lvl w:ilvl="0" w:tentative="0">
      <w:start w:val="1"/>
      <w:numFmt w:val="lowerLetter"/>
      <w:lvlText w:val="(%1)"/>
      <w:lvlJc w:val="left"/>
      <w:pPr>
        <w:tabs>
          <w:tab w:val="left" w:pos="942"/>
        </w:tabs>
        <w:ind w:left="942" w:hanging="375"/>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BFDA87F7"/>
    <w:multiLevelType w:val="multilevel"/>
    <w:tmpl w:val="BFDA87F7"/>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6">
    <w:nsid w:val="C22CD406"/>
    <w:multiLevelType w:val="multilevel"/>
    <w:tmpl w:val="C22CD406"/>
    <w:lvl w:ilvl="0" w:tentative="0">
      <w:start w:val="1"/>
      <w:numFmt w:val="lowerLetter"/>
      <w:lvlText w:val="(%1)"/>
      <w:lvlJc w:val="left"/>
      <w:pPr>
        <w:tabs>
          <w:tab w:val="left" w:pos="942"/>
        </w:tabs>
        <w:ind w:left="942" w:hanging="375"/>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
    <w:nsid w:val="E6BFE3A6"/>
    <w:multiLevelType w:val="multilevel"/>
    <w:tmpl w:val="E6BFE3A6"/>
    <w:lvl w:ilvl="0" w:tentative="0">
      <w:start w:val="1"/>
      <w:numFmt w:val="lowerLetter"/>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8">
    <w:nsid w:val="ED9E430A"/>
    <w:multiLevelType w:val="multilevel"/>
    <w:tmpl w:val="ED9E430A"/>
    <w:lvl w:ilvl="0" w:tentative="0">
      <w:start w:val="1"/>
      <w:numFmt w:val="lowerLetter"/>
      <w:lvlText w:val="(%1)"/>
      <w:lvlJc w:val="left"/>
      <w:pPr>
        <w:tabs>
          <w:tab w:val="left" w:pos="942"/>
        </w:tabs>
        <w:ind w:left="942" w:hanging="375"/>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FBD3D7F2"/>
    <w:multiLevelType w:val="multilevel"/>
    <w:tmpl w:val="FBD3D7F2"/>
    <w:lvl w:ilvl="0" w:tentative="0">
      <w:start w:val="1"/>
      <w:numFmt w:val="lowerLetter"/>
      <w:lvlText w:val="(%1)"/>
      <w:lvlJc w:val="left"/>
      <w:pPr>
        <w:ind w:left="1515" w:hanging="420"/>
      </w:pPr>
      <w:rPr>
        <w:rFonts w:hint="default" w:ascii="Times New Roman" w:hAnsi="Times New Roman" w:cs="Times New Roman"/>
      </w:rPr>
    </w:lvl>
    <w:lvl w:ilvl="1" w:tentative="0">
      <w:start w:val="1"/>
      <w:numFmt w:val="lowerLetter"/>
      <w:lvlText w:val="%2)"/>
      <w:lvlJc w:val="left"/>
      <w:pPr>
        <w:ind w:left="1935" w:hanging="420"/>
      </w:pPr>
      <w:rPr>
        <w:rFonts w:hint="default" w:ascii="Times New Roman" w:hAnsi="Times New Roman" w:cs="Times New Roman"/>
      </w:rPr>
    </w:lvl>
    <w:lvl w:ilvl="2" w:tentative="0">
      <w:start w:val="1"/>
      <w:numFmt w:val="lowerRoman"/>
      <w:lvlText w:val="%3."/>
      <w:lvlJc w:val="right"/>
      <w:pPr>
        <w:ind w:left="2355" w:hanging="420"/>
      </w:pPr>
      <w:rPr>
        <w:rFonts w:hint="default" w:ascii="Times New Roman" w:hAnsi="Times New Roman" w:cs="Times New Roman"/>
      </w:rPr>
    </w:lvl>
    <w:lvl w:ilvl="3" w:tentative="0">
      <w:start w:val="1"/>
      <w:numFmt w:val="decimal"/>
      <w:lvlText w:val="%4."/>
      <w:lvlJc w:val="left"/>
      <w:pPr>
        <w:ind w:left="2775" w:hanging="420"/>
      </w:pPr>
      <w:rPr>
        <w:rFonts w:hint="default" w:ascii="Times New Roman" w:hAnsi="Times New Roman" w:cs="Times New Roman"/>
      </w:rPr>
    </w:lvl>
    <w:lvl w:ilvl="4" w:tentative="0">
      <w:start w:val="1"/>
      <w:numFmt w:val="lowerLetter"/>
      <w:lvlText w:val="%5)"/>
      <w:lvlJc w:val="left"/>
      <w:pPr>
        <w:ind w:left="3195" w:hanging="420"/>
      </w:pPr>
      <w:rPr>
        <w:rFonts w:hint="default" w:ascii="Times New Roman" w:hAnsi="Times New Roman" w:cs="Times New Roman"/>
      </w:rPr>
    </w:lvl>
    <w:lvl w:ilvl="5" w:tentative="0">
      <w:start w:val="1"/>
      <w:numFmt w:val="lowerRoman"/>
      <w:lvlText w:val="%6."/>
      <w:lvlJc w:val="right"/>
      <w:pPr>
        <w:ind w:left="3615" w:hanging="420"/>
      </w:pPr>
      <w:rPr>
        <w:rFonts w:hint="default" w:ascii="Times New Roman" w:hAnsi="Times New Roman" w:cs="Times New Roman"/>
      </w:rPr>
    </w:lvl>
    <w:lvl w:ilvl="6" w:tentative="0">
      <w:start w:val="1"/>
      <w:numFmt w:val="decimal"/>
      <w:lvlText w:val="%7."/>
      <w:lvlJc w:val="left"/>
      <w:pPr>
        <w:ind w:left="4035" w:hanging="420"/>
      </w:pPr>
      <w:rPr>
        <w:rFonts w:hint="default" w:ascii="Times New Roman" w:hAnsi="Times New Roman" w:cs="Times New Roman"/>
      </w:rPr>
    </w:lvl>
    <w:lvl w:ilvl="7" w:tentative="0">
      <w:start w:val="1"/>
      <w:numFmt w:val="lowerLetter"/>
      <w:lvlText w:val="%8)"/>
      <w:lvlJc w:val="left"/>
      <w:pPr>
        <w:ind w:left="4455" w:hanging="420"/>
      </w:pPr>
      <w:rPr>
        <w:rFonts w:hint="default" w:ascii="Times New Roman" w:hAnsi="Times New Roman" w:cs="Times New Roman"/>
      </w:rPr>
    </w:lvl>
    <w:lvl w:ilvl="8" w:tentative="0">
      <w:start w:val="1"/>
      <w:numFmt w:val="lowerRoman"/>
      <w:lvlText w:val="%9."/>
      <w:lvlJc w:val="right"/>
      <w:pPr>
        <w:ind w:left="4875" w:hanging="420"/>
      </w:pPr>
      <w:rPr>
        <w:rFonts w:hint="default" w:ascii="Times New Roman" w:hAnsi="Times New Roman" w:cs="Times New Roman"/>
      </w:rPr>
    </w:lvl>
  </w:abstractNum>
  <w:abstractNum w:abstractNumId="10">
    <w:nsid w:val="FCCECF61"/>
    <w:multiLevelType w:val="multilevel"/>
    <w:tmpl w:val="FCCECF61"/>
    <w:lvl w:ilvl="0" w:tentative="0">
      <w:start w:val="1"/>
      <w:numFmt w:val="lowerLetter"/>
      <w:lvlText w:val="(%1)"/>
      <w:lvlJc w:val="left"/>
      <w:pPr>
        <w:tabs>
          <w:tab w:val="left" w:pos="942"/>
        </w:tabs>
        <w:ind w:left="942" w:hanging="375"/>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1B198B10"/>
    <w:multiLevelType w:val="multilevel"/>
    <w:tmpl w:val="1B198B10"/>
    <w:lvl w:ilvl="0" w:tentative="0">
      <w:start w:val="1"/>
      <w:numFmt w:val="lowerLetter"/>
      <w:lvlText w:val="(%1)"/>
      <w:lvlJc w:val="left"/>
      <w:pPr>
        <w:ind w:left="1515" w:hanging="420"/>
      </w:pPr>
      <w:rPr>
        <w:rFonts w:hint="default" w:ascii="Times New Roman" w:hAnsi="Times New Roman" w:cs="Times New Roman"/>
      </w:rPr>
    </w:lvl>
    <w:lvl w:ilvl="1" w:tentative="0">
      <w:start w:val="1"/>
      <w:numFmt w:val="lowerLetter"/>
      <w:lvlText w:val="%2)"/>
      <w:lvlJc w:val="left"/>
      <w:pPr>
        <w:ind w:left="1935" w:hanging="420"/>
      </w:pPr>
      <w:rPr>
        <w:rFonts w:hint="default" w:ascii="Times New Roman" w:hAnsi="Times New Roman" w:cs="Times New Roman"/>
      </w:rPr>
    </w:lvl>
    <w:lvl w:ilvl="2" w:tentative="0">
      <w:start w:val="1"/>
      <w:numFmt w:val="lowerRoman"/>
      <w:lvlText w:val="%3."/>
      <w:lvlJc w:val="right"/>
      <w:pPr>
        <w:ind w:left="2355" w:hanging="420"/>
      </w:pPr>
      <w:rPr>
        <w:rFonts w:hint="default" w:ascii="Times New Roman" w:hAnsi="Times New Roman" w:cs="Times New Roman"/>
      </w:rPr>
    </w:lvl>
    <w:lvl w:ilvl="3" w:tentative="0">
      <w:start w:val="1"/>
      <w:numFmt w:val="decimal"/>
      <w:lvlText w:val="%4."/>
      <w:lvlJc w:val="left"/>
      <w:pPr>
        <w:ind w:left="2775" w:hanging="420"/>
      </w:pPr>
      <w:rPr>
        <w:rFonts w:hint="default" w:ascii="Times New Roman" w:hAnsi="Times New Roman" w:cs="Times New Roman"/>
      </w:rPr>
    </w:lvl>
    <w:lvl w:ilvl="4" w:tentative="0">
      <w:start w:val="1"/>
      <w:numFmt w:val="lowerLetter"/>
      <w:lvlText w:val="%5)"/>
      <w:lvlJc w:val="left"/>
      <w:pPr>
        <w:ind w:left="3195" w:hanging="420"/>
      </w:pPr>
      <w:rPr>
        <w:rFonts w:hint="default" w:ascii="Times New Roman" w:hAnsi="Times New Roman" w:cs="Times New Roman"/>
      </w:rPr>
    </w:lvl>
    <w:lvl w:ilvl="5" w:tentative="0">
      <w:start w:val="1"/>
      <w:numFmt w:val="lowerRoman"/>
      <w:lvlText w:val="%6."/>
      <w:lvlJc w:val="right"/>
      <w:pPr>
        <w:ind w:left="3615" w:hanging="420"/>
      </w:pPr>
      <w:rPr>
        <w:rFonts w:hint="default" w:ascii="Times New Roman" w:hAnsi="Times New Roman" w:cs="Times New Roman"/>
      </w:rPr>
    </w:lvl>
    <w:lvl w:ilvl="6" w:tentative="0">
      <w:start w:val="1"/>
      <w:numFmt w:val="decimal"/>
      <w:lvlText w:val="%7."/>
      <w:lvlJc w:val="left"/>
      <w:pPr>
        <w:ind w:left="4035" w:hanging="420"/>
      </w:pPr>
      <w:rPr>
        <w:rFonts w:hint="default" w:ascii="Times New Roman" w:hAnsi="Times New Roman" w:cs="Times New Roman"/>
      </w:rPr>
    </w:lvl>
    <w:lvl w:ilvl="7" w:tentative="0">
      <w:start w:val="1"/>
      <w:numFmt w:val="lowerLetter"/>
      <w:lvlText w:val="%8)"/>
      <w:lvlJc w:val="left"/>
      <w:pPr>
        <w:ind w:left="4455" w:hanging="420"/>
      </w:pPr>
      <w:rPr>
        <w:rFonts w:hint="default" w:ascii="Times New Roman" w:hAnsi="Times New Roman" w:cs="Times New Roman"/>
      </w:rPr>
    </w:lvl>
    <w:lvl w:ilvl="8" w:tentative="0">
      <w:start w:val="1"/>
      <w:numFmt w:val="lowerRoman"/>
      <w:lvlText w:val="%9."/>
      <w:lvlJc w:val="right"/>
      <w:pPr>
        <w:ind w:left="4875" w:hanging="420"/>
      </w:pPr>
      <w:rPr>
        <w:rFonts w:hint="default" w:ascii="Times New Roman" w:hAnsi="Times New Roman" w:cs="Times New Roman"/>
      </w:rPr>
    </w:lvl>
  </w:abstractNum>
  <w:abstractNum w:abstractNumId="12">
    <w:nsid w:val="1D1BA401"/>
    <w:multiLevelType w:val="multilevel"/>
    <w:tmpl w:val="1D1BA401"/>
    <w:lvl w:ilvl="0" w:tentative="0">
      <w:start w:val="1"/>
      <w:numFmt w:val="lowerLetter"/>
      <w:lvlText w:val="(%1)"/>
      <w:lvlJc w:val="left"/>
      <w:pPr>
        <w:tabs>
          <w:tab w:val="left" w:pos="942"/>
        </w:tabs>
        <w:ind w:left="942" w:hanging="375"/>
      </w:pPr>
      <w:rPr>
        <w:rFonts w:hint="default" w:ascii="Times New Roman" w:hAnsi="Times New Roman" w:cs="Times New Roman"/>
        <w:b w:val="0"/>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13">
    <w:nsid w:val="3AD78BD9"/>
    <w:multiLevelType w:val="multilevel"/>
    <w:tmpl w:val="3AD78BD9"/>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14">
    <w:nsid w:val="3CBBAFD8"/>
    <w:multiLevelType w:val="multilevel"/>
    <w:tmpl w:val="3CBBAFD8"/>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15">
    <w:nsid w:val="5C5DF3C2"/>
    <w:multiLevelType w:val="multilevel"/>
    <w:tmpl w:val="5C5DF3C2"/>
    <w:lvl w:ilvl="0" w:tentative="0">
      <w:start w:val="1"/>
      <w:numFmt w:val="lowerLetter"/>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16">
    <w:nsid w:val="5EABDF22"/>
    <w:multiLevelType w:val="multilevel"/>
    <w:tmpl w:val="5EABDF22"/>
    <w:lvl w:ilvl="0" w:tentative="0">
      <w:start w:val="1"/>
      <w:numFmt w:val="decimal"/>
      <w:lvlText w:val="%1."/>
      <w:lvlJc w:val="left"/>
      <w:pPr>
        <w:tabs>
          <w:tab w:val="left" w:pos="425"/>
        </w:tabs>
        <w:ind w:left="425" w:hanging="425"/>
      </w:pPr>
      <w:rPr>
        <w:rFonts w:hint="default" w:ascii="Times New Roman" w:hAnsi="Times New Roman" w:cs="Times New Roman"/>
        <w:b/>
      </w:rPr>
    </w:lvl>
    <w:lvl w:ilvl="1" w:tentative="0">
      <w:start w:val="1"/>
      <w:numFmt w:val="decimal"/>
      <w:lvlText w:val="（%2）"/>
      <w:lvlJc w:val="left"/>
      <w:pPr>
        <w:tabs>
          <w:tab w:val="left" w:pos="720"/>
        </w:tabs>
        <w:ind w:left="720" w:hanging="720"/>
      </w:pPr>
      <w:rPr>
        <w:rFonts w:hint="default" w:ascii="Times New Roman" w:hAnsi="Times New Roman" w:cs="Times New Roman"/>
        <w:b/>
        <w:i w:val="0"/>
        <w:iCs w:val="0"/>
        <w:color w:val="auto"/>
        <w:sz w:val="24"/>
        <w:szCs w:val="24"/>
      </w:rPr>
    </w:lvl>
    <w:lvl w:ilvl="2" w:tentative="0">
      <w:start w:val="1"/>
      <w:numFmt w:val="lowerLetter"/>
      <w:lvlText w:val="（%3)"/>
      <w:lvlJc w:val="left"/>
      <w:pPr>
        <w:tabs>
          <w:tab w:val="left" w:pos="420"/>
        </w:tabs>
        <w:ind w:left="420" w:hanging="420"/>
      </w:pPr>
      <w:rPr>
        <w:rFonts w:hint="eastAsia" w:ascii="宋体" w:hAnsi="宋体" w:eastAsia="宋体" w:cs="宋体"/>
        <w:b w:val="0"/>
      </w:rPr>
    </w:lvl>
    <w:lvl w:ilvl="3" w:tentative="0">
      <w:start w:val="1"/>
      <w:numFmt w:val="decimal"/>
      <w:lvlText w:val="%1.%2.%3.%4."/>
      <w:lvlJc w:val="left"/>
      <w:pPr>
        <w:tabs>
          <w:tab w:val="left" w:pos="851"/>
        </w:tabs>
        <w:ind w:left="851" w:hanging="851"/>
      </w:pPr>
      <w:rPr>
        <w:rFonts w:hint="default" w:ascii="Times New Roman" w:hAnsi="Times New Roman" w:cs="Times New Roman"/>
        <w:b/>
      </w:rPr>
    </w:lvl>
    <w:lvl w:ilvl="4" w:tentative="0">
      <w:start w:val="1"/>
      <w:numFmt w:val="decimal"/>
      <w:lvlText w:val="%1.%2.%3.%4.%5."/>
      <w:lvlJc w:val="left"/>
      <w:pPr>
        <w:tabs>
          <w:tab w:val="left" w:pos="992"/>
        </w:tabs>
        <w:ind w:left="992" w:hanging="992"/>
      </w:pPr>
      <w:rPr>
        <w:rFonts w:hint="default" w:ascii="Times New Roman" w:hAnsi="Times New Roman" w:cs="Times New Roman"/>
        <w:b/>
      </w:rPr>
    </w:lvl>
    <w:lvl w:ilvl="5" w:tentative="0">
      <w:start w:val="1"/>
      <w:numFmt w:val="decimal"/>
      <w:lvlText w:val="%1.%2.%3.%4.%5.%6."/>
      <w:lvlJc w:val="left"/>
      <w:pPr>
        <w:tabs>
          <w:tab w:val="left" w:pos="1134"/>
        </w:tabs>
        <w:ind w:left="1134" w:hanging="1134"/>
      </w:pPr>
      <w:rPr>
        <w:rFonts w:hint="default" w:ascii="Times New Roman" w:hAnsi="Times New Roman" w:cs="Times New Roman"/>
      </w:rPr>
    </w:lvl>
    <w:lvl w:ilvl="6" w:tentative="0">
      <w:start w:val="1"/>
      <w:numFmt w:val="decimal"/>
      <w:lvlText w:val="%1.%2.%3.%4.%5.%6.%7."/>
      <w:lvlJc w:val="left"/>
      <w:pPr>
        <w:tabs>
          <w:tab w:val="left" w:pos="1276"/>
        </w:tabs>
        <w:ind w:left="1276" w:hanging="1276"/>
      </w:pPr>
      <w:rPr>
        <w:rFonts w:hint="default" w:ascii="Times New Roman" w:hAnsi="Times New Roman" w:cs="Times New Roman"/>
      </w:rPr>
    </w:lvl>
    <w:lvl w:ilvl="7" w:tentative="0">
      <w:start w:val="1"/>
      <w:numFmt w:val="decimal"/>
      <w:lvlText w:val="%1.%2.%3.%4.%5.%6.%7.%8."/>
      <w:lvlJc w:val="left"/>
      <w:pPr>
        <w:tabs>
          <w:tab w:val="left" w:pos="1418"/>
        </w:tabs>
        <w:ind w:left="1418" w:hanging="1418"/>
      </w:pPr>
      <w:rPr>
        <w:rFonts w:hint="default" w:ascii="Times New Roman" w:hAnsi="Times New Roman" w:cs="Times New Roman"/>
      </w:rPr>
    </w:lvl>
    <w:lvl w:ilvl="8" w:tentative="0">
      <w:start w:val="1"/>
      <w:numFmt w:val="decimal"/>
      <w:lvlText w:val="%1.%2.%3.%4.%5.%6.%7.%8.%9."/>
      <w:lvlJc w:val="left"/>
      <w:pPr>
        <w:tabs>
          <w:tab w:val="left" w:pos="1559"/>
        </w:tabs>
        <w:ind w:left="1559" w:hanging="1559"/>
      </w:pPr>
      <w:rPr>
        <w:rFonts w:hint="default" w:ascii="Times New Roman" w:hAnsi="Times New Roman" w:cs="Times New Roman"/>
      </w:rPr>
    </w:lvl>
  </w:abstractNum>
  <w:abstractNum w:abstractNumId="17">
    <w:nsid w:val="677A784F"/>
    <w:multiLevelType w:val="multilevel"/>
    <w:tmpl w:val="677A784F"/>
    <w:lvl w:ilvl="0" w:tentative="0">
      <w:start w:val="1"/>
      <w:numFmt w:val="lowerLetter"/>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18">
    <w:nsid w:val="6B0760B9"/>
    <w:multiLevelType w:val="multilevel"/>
    <w:tmpl w:val="6B0760B9"/>
    <w:lvl w:ilvl="0" w:tentative="0">
      <w:start w:val="1"/>
      <w:numFmt w:val="lowerLetter"/>
      <w:lvlText w:val="(%1)"/>
      <w:lvlJc w:val="left"/>
      <w:pPr>
        <w:tabs>
          <w:tab w:val="left" w:pos="942"/>
        </w:tabs>
        <w:ind w:left="942" w:hanging="375"/>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6B5E4B43"/>
    <w:multiLevelType w:val="multilevel"/>
    <w:tmpl w:val="6B5E4B43"/>
    <w:lvl w:ilvl="0" w:tentative="0">
      <w:start w:val="1"/>
      <w:numFmt w:val="decimal"/>
      <w:lvlText w:val="%1、"/>
      <w:lvlJc w:val="left"/>
      <w:pPr>
        <w:tabs>
          <w:tab w:val="left" w:pos="360"/>
        </w:tabs>
        <w:ind w:left="0" w:firstLine="0"/>
      </w:pPr>
      <w:rPr>
        <w:rFonts w:hint="eastAsia"/>
      </w:rPr>
    </w:lvl>
    <w:lvl w:ilvl="1" w:tentative="0">
      <w:start w:val="1"/>
      <w:numFmt w:val="decimal"/>
      <w:pStyle w:val="25"/>
      <w:lvlText w:val="%1.%2"/>
      <w:lvlJc w:val="left"/>
      <w:pPr>
        <w:tabs>
          <w:tab w:val="left" w:pos="720"/>
        </w:tabs>
        <w:ind w:left="0" w:firstLine="0"/>
      </w:pPr>
      <w:rPr>
        <w:rFonts w:hint="default" w:ascii="Times New Roman" w:hAnsi="Times New Roman"/>
        <w:b/>
        <w:i w:val="0"/>
        <w:caps w:val="0"/>
        <w:color w:val="auto"/>
        <w:u w:val="none"/>
      </w:rPr>
    </w:lvl>
    <w:lvl w:ilvl="2" w:tentative="0">
      <w:start w:val="1"/>
      <w:numFmt w:val="lowerLetter"/>
      <w:lvlText w:val="(%3)"/>
      <w:lvlJc w:val="left"/>
      <w:pPr>
        <w:tabs>
          <w:tab w:val="left" w:pos="720"/>
        </w:tabs>
        <w:ind w:left="720" w:hanging="720"/>
      </w:pPr>
      <w:rPr>
        <w:rFonts w:hint="eastAsia" w:ascii="Times New Roman" w:hAnsi="Times New Roman"/>
        <w:b w:val="0"/>
        <w:i w:val="0"/>
        <w:caps w:val="0"/>
        <w:color w:val="auto"/>
        <w:u w:val="none"/>
      </w:rPr>
    </w:lvl>
    <w:lvl w:ilvl="3" w:tentative="0">
      <w:start w:val="1"/>
      <w:numFmt w:val="lowerRoman"/>
      <w:lvlText w:val="(%4)"/>
      <w:lvlJc w:val="left"/>
      <w:pPr>
        <w:tabs>
          <w:tab w:val="left" w:pos="1440"/>
        </w:tabs>
        <w:ind w:left="1440" w:hanging="216"/>
      </w:pPr>
      <w:rPr>
        <w:rFonts w:hint="eastAsia" w:ascii="Times New Roman" w:hAnsi="Times New Roman"/>
        <w:b w:val="0"/>
        <w:i w:val="0"/>
        <w:caps w:val="0"/>
        <w:color w:val="auto"/>
        <w:u w:val="none"/>
      </w:rPr>
    </w:lvl>
    <w:lvl w:ilvl="4" w:tentative="0">
      <w:start w:val="1"/>
      <w:numFmt w:val="upperLetter"/>
      <w:lvlText w:val="(%5)"/>
      <w:lvlJc w:val="left"/>
      <w:pPr>
        <w:tabs>
          <w:tab w:val="left" w:pos="2160"/>
        </w:tabs>
        <w:ind w:left="2160" w:hanging="720"/>
      </w:pPr>
      <w:rPr>
        <w:rFonts w:hint="eastAsia" w:ascii="Times New Roman" w:hAnsi="Times New Roman"/>
        <w:b w:val="0"/>
        <w:i w:val="0"/>
        <w:caps w:val="0"/>
        <w:color w:val="auto"/>
        <w:u w:val="none"/>
      </w:rPr>
    </w:lvl>
    <w:lvl w:ilvl="5" w:tentative="0">
      <w:start w:val="1"/>
      <w:numFmt w:val="upperRoman"/>
      <w:lvlText w:val="(%6)"/>
      <w:lvlJc w:val="right"/>
      <w:pPr>
        <w:tabs>
          <w:tab w:val="left" w:pos="2880"/>
        </w:tabs>
        <w:ind w:left="2880" w:hanging="216"/>
      </w:pPr>
      <w:rPr>
        <w:rFonts w:hint="eastAsia" w:ascii="Times New Roman" w:hAnsi="Times New Roman"/>
        <w:b w:val="0"/>
        <w:i w:val="0"/>
        <w:caps w:val="0"/>
        <w:color w:val="auto"/>
        <w:u w:val="none"/>
      </w:rPr>
    </w:lvl>
    <w:lvl w:ilvl="6" w:tentative="0">
      <w:start w:val="27"/>
      <w:numFmt w:val="lowerLetter"/>
      <w:lvlText w:val="(%7)"/>
      <w:lvlJc w:val="left"/>
      <w:pPr>
        <w:tabs>
          <w:tab w:val="left" w:pos="3600"/>
        </w:tabs>
        <w:ind w:left="3600" w:hanging="720"/>
      </w:pPr>
      <w:rPr>
        <w:rFonts w:hint="eastAsia" w:ascii="Times New Roman" w:hAnsi="Times New Roman"/>
        <w:b w:val="0"/>
        <w:i w:val="0"/>
        <w:caps w:val="0"/>
        <w:color w:val="auto"/>
        <w:u w:val="none"/>
      </w:rPr>
    </w:lvl>
    <w:lvl w:ilvl="7" w:tentative="0">
      <w:start w:val="1"/>
      <w:numFmt w:val="decimal"/>
      <w:lvlText w:val="(%8)"/>
      <w:lvlJc w:val="left"/>
      <w:pPr>
        <w:tabs>
          <w:tab w:val="left" w:pos="4320"/>
        </w:tabs>
        <w:ind w:left="4320" w:hanging="720"/>
      </w:pPr>
      <w:rPr>
        <w:rFonts w:hint="eastAsia" w:ascii="Times New Roman" w:hAnsi="Times New Roman"/>
        <w:b w:val="0"/>
        <w:i w:val="0"/>
        <w:caps w:val="0"/>
        <w:color w:val="auto"/>
        <w:u w:val="none"/>
      </w:rPr>
    </w:lvl>
    <w:lvl w:ilvl="8" w:tentative="0">
      <w:start w:val="1"/>
      <w:numFmt w:val="lowerRoman"/>
      <w:lvlText w:val="%9)"/>
      <w:lvlJc w:val="left"/>
      <w:pPr>
        <w:tabs>
          <w:tab w:val="left" w:pos="5760"/>
        </w:tabs>
        <w:ind w:left="5760" w:hanging="720"/>
      </w:pPr>
      <w:rPr>
        <w:rFonts w:hint="eastAsia" w:ascii="Times New Roman" w:hAnsi="Times New Roman"/>
        <w:b w:val="0"/>
        <w:i w:val="0"/>
        <w:caps w:val="0"/>
        <w:color w:val="auto"/>
        <w:u w:val="none"/>
      </w:rPr>
    </w:lvl>
  </w:abstractNum>
  <w:abstractNum w:abstractNumId="20">
    <w:nsid w:val="6BC710BF"/>
    <w:multiLevelType w:val="multilevel"/>
    <w:tmpl w:val="6BC710BF"/>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21">
    <w:nsid w:val="6E0082D1"/>
    <w:multiLevelType w:val="multilevel"/>
    <w:tmpl w:val="6E0082D1"/>
    <w:lvl w:ilvl="0" w:tentative="0">
      <w:start w:val="1"/>
      <w:numFmt w:val="lowerLetter"/>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22">
    <w:nsid w:val="79CD1B3B"/>
    <w:multiLevelType w:val="multilevel"/>
    <w:tmpl w:val="79CD1B3B"/>
    <w:lvl w:ilvl="0" w:tentative="0">
      <w:start w:val="1"/>
      <w:numFmt w:val="lowerLetter"/>
      <w:lvlText w:val="(%1)"/>
      <w:lvlJc w:val="left"/>
      <w:pPr>
        <w:tabs>
          <w:tab w:val="left" w:pos="942"/>
        </w:tabs>
        <w:ind w:left="942" w:hanging="375"/>
      </w:pPr>
      <w:rPr>
        <w:rFonts w:hint="default" w:ascii="Times New Roman" w:hAnsi="Times New Roman" w:cs="Times New Roman"/>
      </w:rPr>
    </w:lvl>
    <w:lvl w:ilvl="1" w:tentative="0">
      <w:start w:val="1"/>
      <w:numFmt w:val="lowerLetter"/>
      <w:lvlText w:val="%2)"/>
      <w:lvlJc w:val="left"/>
      <w:pPr>
        <w:tabs>
          <w:tab w:val="left" w:pos="1407"/>
        </w:tabs>
        <w:ind w:left="1407" w:hanging="420"/>
      </w:pPr>
      <w:rPr>
        <w:rFonts w:hint="default" w:ascii="Times New Roman" w:hAnsi="Times New Roman" w:cs="Times New Roman"/>
      </w:rPr>
    </w:lvl>
    <w:lvl w:ilvl="2" w:tentative="0">
      <w:start w:val="1"/>
      <w:numFmt w:val="lowerRoman"/>
      <w:lvlText w:val="%3."/>
      <w:lvlJc w:val="right"/>
      <w:pPr>
        <w:tabs>
          <w:tab w:val="left" w:pos="1827"/>
        </w:tabs>
        <w:ind w:left="1827" w:hanging="420"/>
      </w:pPr>
      <w:rPr>
        <w:rFonts w:hint="default" w:ascii="Times New Roman" w:hAnsi="Times New Roman" w:cs="Times New Roman"/>
      </w:rPr>
    </w:lvl>
    <w:lvl w:ilvl="3" w:tentative="0">
      <w:start w:val="1"/>
      <w:numFmt w:val="decimal"/>
      <w:lvlText w:val="%4."/>
      <w:lvlJc w:val="left"/>
      <w:pPr>
        <w:tabs>
          <w:tab w:val="left" w:pos="2247"/>
        </w:tabs>
        <w:ind w:left="2247" w:hanging="420"/>
      </w:pPr>
      <w:rPr>
        <w:rFonts w:hint="default" w:ascii="Times New Roman" w:hAnsi="Times New Roman" w:cs="Times New Roman"/>
      </w:rPr>
    </w:lvl>
    <w:lvl w:ilvl="4" w:tentative="0">
      <w:start w:val="1"/>
      <w:numFmt w:val="lowerLetter"/>
      <w:lvlText w:val="%5)"/>
      <w:lvlJc w:val="left"/>
      <w:pPr>
        <w:tabs>
          <w:tab w:val="left" w:pos="2667"/>
        </w:tabs>
        <w:ind w:left="2667" w:hanging="420"/>
      </w:pPr>
      <w:rPr>
        <w:rFonts w:hint="default" w:ascii="Times New Roman" w:hAnsi="Times New Roman" w:cs="Times New Roman"/>
      </w:rPr>
    </w:lvl>
    <w:lvl w:ilvl="5" w:tentative="0">
      <w:start w:val="1"/>
      <w:numFmt w:val="lowerRoman"/>
      <w:lvlText w:val="%6."/>
      <w:lvlJc w:val="right"/>
      <w:pPr>
        <w:tabs>
          <w:tab w:val="left" w:pos="3087"/>
        </w:tabs>
        <w:ind w:left="3087" w:hanging="420"/>
      </w:pPr>
      <w:rPr>
        <w:rFonts w:hint="default" w:ascii="Times New Roman" w:hAnsi="Times New Roman" w:cs="Times New Roman"/>
      </w:rPr>
    </w:lvl>
    <w:lvl w:ilvl="6" w:tentative="0">
      <w:start w:val="1"/>
      <w:numFmt w:val="decimal"/>
      <w:lvlText w:val="%7."/>
      <w:lvlJc w:val="left"/>
      <w:pPr>
        <w:tabs>
          <w:tab w:val="left" w:pos="3507"/>
        </w:tabs>
        <w:ind w:left="3507" w:hanging="420"/>
      </w:pPr>
      <w:rPr>
        <w:rFonts w:hint="default" w:ascii="Times New Roman" w:hAnsi="Times New Roman" w:cs="Times New Roman"/>
      </w:rPr>
    </w:lvl>
    <w:lvl w:ilvl="7" w:tentative="0">
      <w:start w:val="1"/>
      <w:numFmt w:val="lowerLetter"/>
      <w:lvlText w:val="%8)"/>
      <w:lvlJc w:val="left"/>
      <w:pPr>
        <w:tabs>
          <w:tab w:val="left" w:pos="3927"/>
        </w:tabs>
        <w:ind w:left="3927" w:hanging="420"/>
      </w:pPr>
      <w:rPr>
        <w:rFonts w:hint="default" w:ascii="Times New Roman" w:hAnsi="Times New Roman" w:cs="Times New Roman"/>
      </w:rPr>
    </w:lvl>
    <w:lvl w:ilvl="8" w:tentative="0">
      <w:start w:val="1"/>
      <w:numFmt w:val="lowerRoman"/>
      <w:lvlText w:val="%9."/>
      <w:lvlJc w:val="right"/>
      <w:pPr>
        <w:tabs>
          <w:tab w:val="left" w:pos="4347"/>
        </w:tabs>
        <w:ind w:left="4347" w:hanging="420"/>
      </w:pPr>
      <w:rPr>
        <w:rFonts w:hint="default" w:ascii="Times New Roman" w:hAnsi="Times New Roman" w:cs="Times New Roman"/>
      </w:rPr>
    </w:lvl>
  </w:abstractNum>
  <w:abstractNum w:abstractNumId="23">
    <w:nsid w:val="7F77E931"/>
    <w:multiLevelType w:val="multilevel"/>
    <w:tmpl w:val="7F77E931"/>
    <w:lvl w:ilvl="0" w:tentative="0">
      <w:start w:val="1"/>
      <w:numFmt w:val="lowerLetter"/>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num w:numId="1">
    <w:abstractNumId w:val="19"/>
  </w:num>
  <w:num w:numId="2">
    <w:abstractNumId w:val="16"/>
  </w:num>
  <w:num w:numId="3">
    <w:abstractNumId w:val="9"/>
  </w:num>
  <w:num w:numId="4">
    <w:abstractNumId w:val="11"/>
  </w:num>
  <w:num w:numId="5">
    <w:abstractNumId w:val="17"/>
  </w:num>
  <w:num w:numId="6">
    <w:abstractNumId w:val="15"/>
  </w:num>
  <w:num w:numId="7">
    <w:abstractNumId w:val="21"/>
  </w:num>
  <w:num w:numId="8">
    <w:abstractNumId w:val="23"/>
  </w:num>
  <w:num w:numId="9">
    <w:abstractNumId w:val="7"/>
  </w:num>
  <w:num w:numId="10">
    <w:abstractNumId w:val="13"/>
  </w:num>
  <w:num w:numId="11">
    <w:abstractNumId w:val="14"/>
  </w:num>
  <w:num w:numId="12">
    <w:abstractNumId w:val="2"/>
  </w:num>
  <w:num w:numId="13">
    <w:abstractNumId w:val="22"/>
  </w:num>
  <w:num w:numId="14">
    <w:abstractNumId w:val="5"/>
  </w:num>
  <w:num w:numId="15">
    <w:abstractNumId w:val="3"/>
  </w:num>
  <w:num w:numId="16">
    <w:abstractNumId w:val="20"/>
  </w:num>
  <w:num w:numId="17">
    <w:abstractNumId w:val="12"/>
  </w:num>
  <w:num w:numId="18">
    <w:abstractNumId w:val="18"/>
  </w:num>
  <w:num w:numId="19">
    <w:abstractNumId w:val="1"/>
  </w:num>
  <w:num w:numId="20">
    <w:abstractNumId w:val="8"/>
  </w:num>
  <w:num w:numId="21">
    <w:abstractNumId w:val="0"/>
  </w:num>
  <w:num w:numId="22">
    <w:abstractNumId w:val="1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130962"/>
    <w:rsid w:val="00172A27"/>
    <w:rsid w:val="00174B5F"/>
    <w:rsid w:val="001B2F8E"/>
    <w:rsid w:val="001D7D1A"/>
    <w:rsid w:val="0022353E"/>
    <w:rsid w:val="00253F27"/>
    <w:rsid w:val="0030482C"/>
    <w:rsid w:val="00322354"/>
    <w:rsid w:val="003377B3"/>
    <w:rsid w:val="003508F0"/>
    <w:rsid w:val="003840DB"/>
    <w:rsid w:val="003A4A01"/>
    <w:rsid w:val="008868D2"/>
    <w:rsid w:val="0094169E"/>
    <w:rsid w:val="00982FD7"/>
    <w:rsid w:val="00A71D98"/>
    <w:rsid w:val="00C66C89"/>
    <w:rsid w:val="00C66D03"/>
    <w:rsid w:val="00CA4566"/>
    <w:rsid w:val="00DB2E94"/>
    <w:rsid w:val="00EB031E"/>
    <w:rsid w:val="00EC4EB5"/>
    <w:rsid w:val="0138226D"/>
    <w:rsid w:val="08AC673B"/>
    <w:rsid w:val="08AF61B3"/>
    <w:rsid w:val="09D44A03"/>
    <w:rsid w:val="0B194B8E"/>
    <w:rsid w:val="0B3B309D"/>
    <w:rsid w:val="0C332E98"/>
    <w:rsid w:val="100932CE"/>
    <w:rsid w:val="1A051B3B"/>
    <w:rsid w:val="1AF67B1A"/>
    <w:rsid w:val="1D680F32"/>
    <w:rsid w:val="1FD4069A"/>
    <w:rsid w:val="24E707CE"/>
    <w:rsid w:val="28C248ED"/>
    <w:rsid w:val="30295390"/>
    <w:rsid w:val="33F45BD6"/>
    <w:rsid w:val="34D81393"/>
    <w:rsid w:val="36484FCF"/>
    <w:rsid w:val="39575175"/>
    <w:rsid w:val="3CEE4AED"/>
    <w:rsid w:val="477C45E6"/>
    <w:rsid w:val="486560F7"/>
    <w:rsid w:val="49EF1D1D"/>
    <w:rsid w:val="4B6727C9"/>
    <w:rsid w:val="4B9D29E7"/>
    <w:rsid w:val="4C2F11F7"/>
    <w:rsid w:val="4E0C6598"/>
    <w:rsid w:val="51520D7C"/>
    <w:rsid w:val="540F0B6A"/>
    <w:rsid w:val="568E6FC9"/>
    <w:rsid w:val="5B1E78DB"/>
    <w:rsid w:val="5B9B13DC"/>
    <w:rsid w:val="614735CE"/>
    <w:rsid w:val="63136E7C"/>
    <w:rsid w:val="63E866F1"/>
    <w:rsid w:val="6F911049"/>
    <w:rsid w:val="760866A4"/>
    <w:rsid w:val="7AAB4022"/>
    <w:rsid w:val="7C641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 w:val="20"/>
      <w:szCs w:val="20"/>
    </w:rPr>
  </w:style>
  <w:style w:type="paragraph" w:styleId="3">
    <w:name w:val="Document Map"/>
    <w:basedOn w:val="1"/>
    <w:link w:val="27"/>
    <w:qFormat/>
    <w:uiPriority w:val="0"/>
    <w:rPr>
      <w:rFonts w:ascii="宋体"/>
      <w:sz w:val="18"/>
      <w:szCs w:val="18"/>
    </w:rPr>
  </w:style>
  <w:style w:type="paragraph" w:styleId="4">
    <w:name w:val="annotation text"/>
    <w:basedOn w:val="1"/>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footer"/>
    <w:basedOn w:val="1"/>
    <w:qFormat/>
    <w:uiPriority w:val="99"/>
    <w:pPr>
      <w:snapToGrid w:val="0"/>
      <w:ind w:right="210" w:rightChars="100"/>
      <w:jc w:val="righ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tabs>
        <w:tab w:val="left" w:pos="284"/>
        <w:tab w:val="right" w:leader="dot" w:pos="8222"/>
      </w:tabs>
      <w:spacing w:afterLines="25"/>
      <w:ind w:right="1218" w:rightChars="580"/>
      <w:jc w:val="left"/>
    </w:pPr>
    <w:rPr>
      <w:rFonts w:ascii="宋体"/>
      <w:szCs w:val="21"/>
    </w:rPr>
  </w:style>
  <w:style w:type="paragraph" w:styleId="10">
    <w:name w:val="index heading"/>
    <w:basedOn w:val="1"/>
    <w:next w:val="11"/>
    <w:qFormat/>
    <w:uiPriority w:val="0"/>
    <w:pPr>
      <w:spacing w:before="120" w:after="120"/>
      <w:jc w:val="center"/>
    </w:pPr>
    <w:rPr>
      <w:rFonts w:ascii="Calibri" w:hAnsi="Calibri"/>
      <w:b/>
      <w:bCs/>
      <w:iCs/>
      <w:szCs w:val="20"/>
    </w:rPr>
  </w:style>
  <w:style w:type="paragraph" w:styleId="11">
    <w:name w:val="index 1"/>
    <w:basedOn w:val="1"/>
    <w:next w:val="12"/>
    <w:qFormat/>
    <w:uiPriority w:val="0"/>
    <w:pPr>
      <w:tabs>
        <w:tab w:val="right" w:leader="dot" w:pos="9299"/>
      </w:tabs>
      <w:jc w:val="left"/>
    </w:pPr>
    <w:rPr>
      <w:rFonts w:ascii="宋体"/>
      <w:szCs w:val="21"/>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3">
    <w:name w:val="Normal (Web)"/>
    <w:basedOn w:val="1"/>
    <w:qFormat/>
    <w:uiPriority w:val="0"/>
    <w:rPr>
      <w:sz w:val="24"/>
    </w:rPr>
  </w:style>
  <w:style w:type="character" w:styleId="16">
    <w:name w:val="Hyperlink"/>
    <w:basedOn w:val="15"/>
    <w:qFormat/>
    <w:uiPriority w:val="99"/>
    <w:rPr>
      <w:color w:val="0000FF"/>
      <w:spacing w:val="0"/>
      <w:w w:val="100"/>
      <w:szCs w:val="21"/>
      <w:u w:val="single"/>
    </w:rPr>
  </w:style>
  <w:style w:type="paragraph" w:customStyle="1" w:styleId="17">
    <w:name w:val="FWParties"/>
    <w:basedOn w:val="5"/>
    <w:qFormat/>
    <w:uiPriority w:val="0"/>
    <w:pPr>
      <w:widowControl/>
      <w:tabs>
        <w:tab w:val="left" w:pos="425"/>
      </w:tabs>
      <w:spacing w:after="240"/>
      <w:ind w:left="425" w:hanging="425"/>
    </w:pPr>
    <w:rPr>
      <w:bCs/>
      <w:kern w:val="0"/>
      <w:sz w:val="24"/>
      <w:lang w:val="en-GB" w:eastAsia="en-US"/>
    </w:rPr>
  </w:style>
  <w:style w:type="paragraph" w:customStyle="1" w:styleId="18">
    <w:name w:val="1"/>
    <w:basedOn w:val="1"/>
    <w:next w:val="6"/>
    <w:qFormat/>
    <w:uiPriority w:val="0"/>
    <w:pPr>
      <w:spacing w:line="360" w:lineRule="auto"/>
      <w:ind w:firstLine="376"/>
    </w:pPr>
    <w:rPr>
      <w:sz w:val="24"/>
    </w:rPr>
  </w:style>
  <w:style w:type="paragraph" w:customStyle="1" w:styleId="19">
    <w:name w:val="FWB Cont 2"/>
    <w:basedOn w:val="1"/>
    <w:qFormat/>
    <w:uiPriority w:val="0"/>
    <w:pPr>
      <w:widowControl/>
      <w:spacing w:after="240"/>
    </w:pPr>
    <w:rPr>
      <w:kern w:val="0"/>
      <w:sz w:val="24"/>
      <w:szCs w:val="20"/>
      <w:lang w:val="en-GB" w:eastAsia="en-US"/>
    </w:rPr>
  </w:style>
  <w:style w:type="character" w:customStyle="1" w:styleId="20">
    <w:name w:val="DeltaView Insertion"/>
    <w:qFormat/>
    <w:uiPriority w:val="0"/>
    <w:rPr>
      <w:color w:val="0000FF"/>
      <w:u w:val="double"/>
    </w:rPr>
  </w:style>
  <w:style w:type="character" w:customStyle="1" w:styleId="21">
    <w:name w:val="10"/>
    <w:basedOn w:val="15"/>
    <w:qFormat/>
    <w:uiPriority w:val="0"/>
    <w:rPr>
      <w:rFonts w:hint="default" w:ascii="Times New Roman" w:hAnsi="Times New Roman" w:cs="Times New Roman"/>
    </w:rPr>
  </w:style>
  <w:style w:type="character" w:customStyle="1" w:styleId="22">
    <w:name w:val="15"/>
    <w:basedOn w:val="15"/>
    <w:qFormat/>
    <w:uiPriority w:val="0"/>
    <w:rPr>
      <w:rFonts w:hint="default" w:ascii="Times New Roman" w:hAnsi="Times New Roman" w:cs="Times New Roman"/>
      <w:color w:val="0000FF"/>
      <w:spacing w:val="0"/>
      <w:u w:val="single"/>
    </w:rPr>
  </w:style>
  <w:style w:type="character" w:customStyle="1" w:styleId="23">
    <w:name w:val="16"/>
    <w:basedOn w:val="15"/>
    <w:qFormat/>
    <w:uiPriority w:val="0"/>
    <w:rPr>
      <w:rFonts w:hint="default" w:ascii="Times New Roman" w:hAnsi="Times New Roman" w:cs="Times New Roman"/>
      <w:color w:val="0000FF"/>
      <w:u w:val="double"/>
    </w:rPr>
  </w:style>
  <w:style w:type="paragraph" w:customStyle="1" w:styleId="24">
    <w:name w:val="FWB_L1"/>
    <w:basedOn w:val="1"/>
    <w:next w:val="25"/>
    <w:qFormat/>
    <w:uiPriority w:val="0"/>
    <w:pPr>
      <w:keepNext/>
      <w:keepLines/>
      <w:widowControl/>
      <w:tabs>
        <w:tab w:val="left" w:pos="720"/>
      </w:tabs>
      <w:spacing w:after="240"/>
      <w:jc w:val="left"/>
      <w:outlineLvl w:val="0"/>
    </w:pPr>
    <w:rPr>
      <w:b/>
      <w:smallCaps/>
      <w:kern w:val="0"/>
      <w:sz w:val="24"/>
      <w:szCs w:val="20"/>
      <w:lang w:val="en-GB" w:eastAsia="en-US"/>
    </w:rPr>
  </w:style>
  <w:style w:type="paragraph" w:customStyle="1" w:styleId="25">
    <w:name w:val="FWB_L2"/>
    <w:basedOn w:val="1"/>
    <w:qFormat/>
    <w:uiPriority w:val="0"/>
    <w:pPr>
      <w:widowControl/>
      <w:numPr>
        <w:ilvl w:val="1"/>
        <w:numId w:val="1"/>
      </w:numPr>
      <w:spacing w:after="240"/>
    </w:pPr>
    <w:rPr>
      <w:kern w:val="0"/>
      <w:sz w:val="24"/>
      <w:szCs w:val="20"/>
      <w:lang w:val="en-GB" w:eastAsia="en-US"/>
    </w:rPr>
  </w:style>
  <w:style w:type="paragraph" w:customStyle="1" w:styleId="26">
    <w:name w:val="Index Heading 2"/>
    <w:basedOn w:val="10"/>
    <w:qFormat/>
    <w:uiPriority w:val="0"/>
    <w:pPr>
      <w:widowControl/>
      <w:tabs>
        <w:tab w:val="right" w:pos="8280"/>
      </w:tabs>
      <w:spacing w:before="0" w:after="480"/>
      <w:jc w:val="left"/>
    </w:pPr>
    <w:rPr>
      <w:rFonts w:ascii="Times New Roman" w:hAnsi="Times New Roman"/>
      <w:bCs w:val="0"/>
      <w:iCs w:val="0"/>
      <w:caps/>
      <w:kern w:val="0"/>
      <w:sz w:val="24"/>
      <w:szCs w:val="24"/>
      <w:lang w:val="en-GB" w:eastAsia="en-US"/>
    </w:rPr>
  </w:style>
  <w:style w:type="character" w:customStyle="1" w:styleId="27">
    <w:name w:val="文档结构图 Char"/>
    <w:basedOn w:val="15"/>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3839</Words>
  <Characters>21884</Characters>
  <Lines>182</Lines>
  <Paragraphs>51</Paragraphs>
  <TotalTime>0</TotalTime>
  <ScaleCrop>false</ScaleCrop>
  <LinksUpToDate>false</LinksUpToDate>
  <CharactersWithSpaces>25672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2021-08-06T05:31:00Z</dcterms:created>
  <dc:creator>孙晓颖</dc:creator>
  <cp:lastModifiedBy>孙晓颖</cp:lastModifiedBy>
  <cp:lastPrinted>2021-08-25T08:05:00Z</cp:lastPrinted>
  <dcterms:modified xsi:type="dcterms:W3CDTF">2021-11-29T06:44:57Z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C594FF8175E04E59A7DDB6E945107065</vt:lpwstr>
  </property>
</Properties>
</file>