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B7D0" w14:textId="77777777" w:rsidR="00D25E16" w:rsidRDefault="00D25E16">
      <w:pPr>
        <w:spacing w:line="560" w:lineRule="exact"/>
        <w:rPr>
          <w:rFonts w:ascii="仿宋_GB2312" w:eastAsia="仿宋" w:hAnsi="Times New Roman" w:cs="Times New Roman"/>
          <w:color w:val="000000"/>
          <w:sz w:val="30"/>
          <w:szCs w:val="30"/>
        </w:rPr>
      </w:pPr>
    </w:p>
    <w:p w14:paraId="5F9A93CE" w14:textId="77777777" w:rsidR="00D25E16" w:rsidRDefault="00D74D86">
      <w:pPr>
        <w:spacing w:line="560" w:lineRule="exact"/>
        <w:jc w:val="center"/>
        <w:rPr>
          <w:rFonts w:ascii="方正小标宋简体" w:eastAsia="方正小标宋简体" w:hAnsi="宋体" w:cs="Times New Roman" w:hint="eastAsia"/>
          <w:bCs/>
          <w:color w:val="000000"/>
          <w:sz w:val="44"/>
          <w:szCs w:val="44"/>
        </w:rPr>
      </w:pPr>
      <w:r>
        <w:rPr>
          <w:rFonts w:ascii="方正小标宋简体" w:eastAsia="方正小标宋简体" w:hAnsi="宋体" w:cs="Times New Roman" w:hint="eastAsia"/>
          <w:bCs/>
          <w:color w:val="000000"/>
          <w:sz w:val="44"/>
          <w:szCs w:val="44"/>
        </w:rPr>
        <w:t>信用风险缓释凭证创设说明书示范文本</w:t>
      </w:r>
    </w:p>
    <w:p w14:paraId="48253FBE" w14:textId="77777777" w:rsidR="00D25E16" w:rsidRDefault="00D74D86">
      <w:pPr>
        <w:spacing w:line="560" w:lineRule="exact"/>
        <w:jc w:val="center"/>
        <w:rPr>
          <w:rFonts w:ascii="方正小标宋简体" w:eastAsia="方正小标宋简体" w:hAnsi="宋体" w:cs="Times New Roman" w:hint="eastAsia"/>
          <w:bCs/>
          <w:color w:val="000000"/>
          <w:sz w:val="44"/>
          <w:szCs w:val="44"/>
        </w:rPr>
      </w:pPr>
      <w:r>
        <w:rPr>
          <w:rFonts w:ascii="方正小标宋简体" w:eastAsia="方正小标宋简体" w:hAnsi="宋体" w:cs="Times New Roman" w:hint="eastAsia"/>
          <w:bCs/>
          <w:color w:val="000000"/>
          <w:sz w:val="44"/>
          <w:szCs w:val="44"/>
        </w:rPr>
        <w:t>（2025年版）</w:t>
      </w:r>
    </w:p>
    <w:p w14:paraId="580B4A2B" w14:textId="77777777" w:rsidR="00D25E16" w:rsidRDefault="00D25E16">
      <w:pPr>
        <w:spacing w:line="560" w:lineRule="exact"/>
        <w:jc w:val="center"/>
        <w:rPr>
          <w:rFonts w:ascii="仿宋_GB2312" w:eastAsia="仿宋" w:hAnsi="Times New Roman" w:cs="Times New Roman"/>
          <w:color w:val="000000"/>
          <w:sz w:val="36"/>
          <w:szCs w:val="36"/>
        </w:rPr>
      </w:pPr>
    </w:p>
    <w:p w14:paraId="44292DE9" w14:textId="77777777" w:rsidR="00D25E16" w:rsidRDefault="00D74D86">
      <w:pPr>
        <w:spacing w:line="560" w:lineRule="exact"/>
        <w:jc w:val="center"/>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说 明</w:t>
      </w:r>
    </w:p>
    <w:p w14:paraId="7AD318C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为规范和便利市场参与者开展信用风险缓释凭证业务，根据《银行间市场信用风险缓释工具业务规则》《信用风险缓释凭证业务指引》《信用风险缓释凭证信息披露操作细则》《信用风险缓释凭证创设定价操作细则》《信用风险缓释凭证持有人会议规程》等自律规则，制定本示范文本。</w:t>
      </w:r>
    </w:p>
    <w:p w14:paraId="0F69D7DF" w14:textId="77777777" w:rsidR="00D25E16" w:rsidRDefault="00D74D86">
      <w:pPr>
        <w:tabs>
          <w:tab w:val="left" w:pos="720"/>
        </w:tabs>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本示范文本借鉴市场参与者在类似交易中使用的文本，基于《中国场外信用衍生产品交易基本术语与适用规则（2022年版）》（包括其后续的修订或更新）中的相关基本术语及其适用规则起草，为市场参与者在信用风险缓释凭证的创设、投资及交易方面提供示范文本。</w:t>
      </w:r>
    </w:p>
    <w:p w14:paraId="6A8B3032" w14:textId="77777777" w:rsidR="00D25E16" w:rsidRDefault="00D74D86">
      <w:pPr>
        <w:tabs>
          <w:tab w:val="left" w:pos="720"/>
        </w:tabs>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3.市场参与者应根据具体交易需求及适用法律使用、修改及补充本示范文本。本示范文本并非中国银行间市场交易商协会要求市场参与者在信用风险缓释凭证业务中须使用的文本，市场参与者应独立评估和决定在此类业务中使用的交易文件及其具体条款。</w:t>
      </w:r>
    </w:p>
    <w:p w14:paraId="78C4D21E" w14:textId="77777777" w:rsidR="00D25E16" w:rsidRDefault="00D25E16">
      <w:pPr>
        <w:spacing w:line="560" w:lineRule="exact"/>
        <w:ind w:firstLineChars="200" w:firstLine="643"/>
        <w:jc w:val="center"/>
        <w:rPr>
          <w:rFonts w:ascii="仿宋" w:eastAsia="仿宋" w:hAnsi="仿宋" w:cs="Times New Roman" w:hint="eastAsia"/>
          <w:b/>
          <w:color w:val="000000"/>
          <w:sz w:val="32"/>
          <w:szCs w:val="32"/>
        </w:rPr>
        <w:sectPr w:rsidR="00D25E1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31BDAE94" w14:textId="77777777" w:rsidR="00D25E16" w:rsidRDefault="00D25E16">
      <w:pPr>
        <w:spacing w:line="560" w:lineRule="exact"/>
        <w:jc w:val="center"/>
        <w:rPr>
          <w:rFonts w:ascii="仿宋_GB2312" w:eastAsia="仿宋" w:hAnsi="Times New Roman" w:cs="Times New Roman"/>
          <w:b/>
          <w:color w:val="000000"/>
          <w:sz w:val="44"/>
          <w:szCs w:val="44"/>
        </w:rPr>
      </w:pPr>
    </w:p>
    <w:p w14:paraId="54DF29F9" w14:textId="77777777" w:rsidR="00D25E16" w:rsidRDefault="00D25E16">
      <w:pPr>
        <w:spacing w:line="560" w:lineRule="exact"/>
        <w:jc w:val="center"/>
        <w:rPr>
          <w:rFonts w:ascii="仿宋_GB2312" w:eastAsia="仿宋" w:hAnsi="Times New Roman" w:cs="Times New Roman"/>
          <w:b/>
          <w:color w:val="000000"/>
          <w:sz w:val="44"/>
          <w:szCs w:val="44"/>
        </w:rPr>
      </w:pPr>
    </w:p>
    <w:p w14:paraId="105A16DE" w14:textId="77777777" w:rsidR="00D25E16" w:rsidRDefault="00D25E16">
      <w:pPr>
        <w:spacing w:line="560" w:lineRule="exact"/>
        <w:jc w:val="center"/>
        <w:rPr>
          <w:rFonts w:ascii="仿宋_GB2312" w:eastAsia="仿宋" w:hAnsi="Times New Roman" w:cs="Times New Roman"/>
          <w:b/>
          <w:color w:val="000000"/>
          <w:sz w:val="44"/>
          <w:szCs w:val="44"/>
        </w:rPr>
      </w:pPr>
    </w:p>
    <w:p w14:paraId="6B2BFB38" w14:textId="77777777" w:rsidR="00D25E16" w:rsidRDefault="00D25E16">
      <w:pPr>
        <w:spacing w:line="560" w:lineRule="exact"/>
        <w:jc w:val="center"/>
        <w:rPr>
          <w:rFonts w:ascii="仿宋_GB2312" w:eastAsia="仿宋" w:hAnsi="Times New Roman" w:cs="Times New Roman"/>
          <w:b/>
          <w:color w:val="000000"/>
          <w:sz w:val="44"/>
          <w:szCs w:val="44"/>
        </w:rPr>
      </w:pPr>
    </w:p>
    <w:p w14:paraId="11517282" w14:textId="77777777" w:rsidR="00D25E16" w:rsidRDefault="00D25E16">
      <w:pPr>
        <w:spacing w:line="560" w:lineRule="exact"/>
        <w:jc w:val="center"/>
        <w:rPr>
          <w:rFonts w:ascii="仿宋_GB2312" w:eastAsia="仿宋" w:hAnsi="Times New Roman" w:cs="Times New Roman"/>
          <w:b/>
          <w:color w:val="000000"/>
          <w:sz w:val="44"/>
          <w:szCs w:val="44"/>
        </w:rPr>
      </w:pPr>
    </w:p>
    <w:p w14:paraId="7CA28CB6" w14:textId="77777777" w:rsidR="00D25E16" w:rsidRDefault="00D74D86">
      <w:pPr>
        <w:spacing w:line="560" w:lineRule="exact"/>
        <w:jc w:val="center"/>
        <w:rPr>
          <w:rFonts w:ascii="仿宋_GB2312" w:eastAsia="仿宋" w:hAnsi="Times New Roman" w:cs="Times New Roman"/>
          <w:b/>
          <w:color w:val="000000"/>
          <w:sz w:val="44"/>
          <w:szCs w:val="44"/>
        </w:rPr>
      </w:pPr>
      <w:r>
        <w:rPr>
          <w:rFonts w:ascii="仿宋_GB2312" w:eastAsia="仿宋" w:hAnsi="Times New Roman" w:cs="Times New Roman" w:hint="eastAsia"/>
          <w:b/>
          <w:color w:val="000000"/>
          <w:sz w:val="44"/>
          <w:szCs w:val="44"/>
        </w:rPr>
        <w:t>【创设机构全称】</w:t>
      </w:r>
      <w:r>
        <w:rPr>
          <w:rFonts w:ascii="仿宋_GB2312" w:eastAsia="仿宋" w:hAnsi="Times New Roman" w:cs="Times New Roman" w:hint="eastAsia"/>
          <w:color w:val="000000"/>
          <w:sz w:val="44"/>
          <w:szCs w:val="44"/>
          <w:vertAlign w:val="superscript"/>
        </w:rPr>
        <w:footnoteReference w:id="1"/>
      </w:r>
    </w:p>
    <w:p w14:paraId="02FD17C2" w14:textId="77777777" w:rsidR="00D25E16" w:rsidRDefault="00D74D86">
      <w:pPr>
        <w:spacing w:line="560" w:lineRule="exact"/>
        <w:jc w:val="center"/>
        <w:rPr>
          <w:rFonts w:ascii="仿宋_GB2312" w:eastAsia="仿宋" w:hAnsi="Times New Roman" w:cs="Times New Roman"/>
          <w:b/>
          <w:color w:val="000000"/>
          <w:sz w:val="44"/>
          <w:szCs w:val="44"/>
        </w:rPr>
      </w:pPr>
      <w:r>
        <w:rPr>
          <w:rFonts w:ascii="仿宋_GB2312" w:eastAsia="仿宋" w:hAnsi="Times New Roman" w:cs="Times New Roman" w:hint="eastAsia"/>
          <w:b/>
          <w:color w:val="000000"/>
          <w:sz w:val="44"/>
          <w:szCs w:val="44"/>
        </w:rPr>
        <w:t>【】</w:t>
      </w:r>
      <w:proofErr w:type="gramStart"/>
      <w:r>
        <w:rPr>
          <w:rFonts w:ascii="仿宋_GB2312" w:eastAsia="仿宋" w:hAnsi="Times New Roman" w:cs="Times New Roman" w:hint="eastAsia"/>
          <w:b/>
          <w:color w:val="000000"/>
          <w:sz w:val="44"/>
          <w:szCs w:val="44"/>
        </w:rPr>
        <w:t>年度第</w:t>
      </w:r>
      <w:proofErr w:type="gramEnd"/>
      <w:r>
        <w:rPr>
          <w:rFonts w:ascii="仿宋_GB2312" w:eastAsia="仿宋" w:hAnsi="Times New Roman" w:cs="Times New Roman" w:hint="eastAsia"/>
          <w:b/>
          <w:color w:val="000000"/>
          <w:sz w:val="44"/>
          <w:szCs w:val="44"/>
        </w:rPr>
        <w:t>【】期</w:t>
      </w:r>
      <w:r>
        <w:rPr>
          <w:rFonts w:ascii="仿宋_GB2312" w:eastAsia="仿宋" w:hAnsi="Times New Roman" w:cs="Times New Roman"/>
          <w:b/>
          <w:color w:val="000000"/>
          <w:sz w:val="44"/>
          <w:szCs w:val="44"/>
          <w:vertAlign w:val="superscript"/>
        </w:rPr>
        <w:footnoteReference w:id="2"/>
      </w:r>
      <w:r>
        <w:rPr>
          <w:rFonts w:ascii="仿宋_GB2312" w:eastAsia="仿宋" w:hAnsi="Times New Roman" w:cs="Times New Roman" w:hint="eastAsia"/>
          <w:b/>
          <w:color w:val="000000"/>
          <w:sz w:val="44"/>
          <w:szCs w:val="44"/>
        </w:rPr>
        <w:t>【参考实体</w:t>
      </w:r>
      <w:r>
        <w:rPr>
          <w:rFonts w:ascii="仿宋_GB2312" w:eastAsia="仿宋" w:hAnsi="Times New Roman" w:cs="Times New Roman"/>
          <w:b/>
          <w:color w:val="000000"/>
          <w:sz w:val="44"/>
          <w:szCs w:val="44"/>
          <w:vertAlign w:val="superscript"/>
        </w:rPr>
        <w:footnoteReference w:id="3"/>
      </w:r>
      <w:r>
        <w:rPr>
          <w:rFonts w:ascii="仿宋_GB2312" w:eastAsia="仿宋" w:hAnsi="Times New Roman" w:cs="Times New Roman" w:hint="eastAsia"/>
          <w:b/>
          <w:color w:val="000000"/>
          <w:sz w:val="44"/>
          <w:szCs w:val="44"/>
        </w:rPr>
        <w:t>/</w:t>
      </w:r>
      <w:r>
        <w:rPr>
          <w:rFonts w:ascii="仿宋_GB2312" w:eastAsia="仿宋" w:hAnsi="Times New Roman" w:cs="Times New Roman" w:hint="eastAsia"/>
          <w:b/>
          <w:color w:val="000000"/>
          <w:sz w:val="44"/>
          <w:szCs w:val="44"/>
        </w:rPr>
        <w:t>参考债务</w:t>
      </w:r>
      <w:r>
        <w:rPr>
          <w:rFonts w:ascii="仿宋_GB2312" w:eastAsia="仿宋" w:hAnsi="Times New Roman" w:cs="Times New Roman"/>
          <w:b/>
          <w:color w:val="000000"/>
          <w:sz w:val="44"/>
          <w:szCs w:val="44"/>
          <w:vertAlign w:val="superscript"/>
        </w:rPr>
        <w:footnoteReference w:id="4"/>
      </w:r>
      <w:r>
        <w:rPr>
          <w:rFonts w:ascii="仿宋_GB2312" w:eastAsia="仿宋" w:hAnsi="Times New Roman" w:cs="Times New Roman" w:hint="eastAsia"/>
          <w:b/>
          <w:color w:val="000000"/>
          <w:sz w:val="44"/>
          <w:szCs w:val="44"/>
        </w:rPr>
        <w:t>简称】</w:t>
      </w:r>
    </w:p>
    <w:p w14:paraId="428527D9" w14:textId="77777777" w:rsidR="00D25E16" w:rsidRDefault="00D74D86">
      <w:pPr>
        <w:spacing w:line="560" w:lineRule="exact"/>
        <w:jc w:val="center"/>
        <w:rPr>
          <w:rFonts w:ascii="仿宋_GB2312" w:eastAsia="仿宋" w:hAnsi="Times New Roman" w:cs="Times New Roman"/>
          <w:b/>
          <w:color w:val="000000"/>
          <w:sz w:val="44"/>
          <w:szCs w:val="44"/>
        </w:rPr>
      </w:pPr>
      <w:r>
        <w:rPr>
          <w:rFonts w:ascii="仿宋_GB2312" w:eastAsia="仿宋" w:hAnsi="Times New Roman" w:cs="Times New Roman" w:hint="eastAsia"/>
          <w:b/>
          <w:color w:val="000000"/>
          <w:sz w:val="44"/>
          <w:szCs w:val="44"/>
        </w:rPr>
        <w:t>信用风险缓释凭证创设说明书</w:t>
      </w:r>
    </w:p>
    <w:p w14:paraId="0956766C" w14:textId="77777777" w:rsidR="00D25E16" w:rsidRDefault="00D25E16">
      <w:pPr>
        <w:spacing w:line="560" w:lineRule="exact"/>
        <w:jc w:val="center"/>
        <w:rPr>
          <w:rFonts w:ascii="仿宋_GB2312" w:eastAsia="仿宋" w:hAnsi="Times New Roman" w:cs="Times New Roman"/>
          <w:b/>
          <w:color w:val="000000"/>
          <w:sz w:val="44"/>
          <w:szCs w:val="44"/>
        </w:rPr>
      </w:pPr>
    </w:p>
    <w:p w14:paraId="5509B565" w14:textId="77777777" w:rsidR="00D25E16" w:rsidRDefault="00D25E16">
      <w:pPr>
        <w:spacing w:line="560" w:lineRule="exact"/>
        <w:jc w:val="center"/>
        <w:rPr>
          <w:rFonts w:ascii="仿宋_GB2312" w:eastAsia="仿宋" w:hAnsi="Times New Roman" w:cs="Times New Roman"/>
          <w:b/>
          <w:color w:val="000000"/>
          <w:sz w:val="44"/>
          <w:szCs w:val="44"/>
        </w:rPr>
      </w:pPr>
    </w:p>
    <w:p w14:paraId="7080CB51" w14:textId="77777777" w:rsidR="00D25E16" w:rsidRDefault="00D25E16">
      <w:pPr>
        <w:spacing w:line="560" w:lineRule="exact"/>
        <w:jc w:val="center"/>
        <w:rPr>
          <w:rFonts w:ascii="仿宋_GB2312" w:eastAsia="仿宋" w:hAnsi="Times New Roman" w:cs="Times New Roman"/>
          <w:b/>
          <w:color w:val="000000"/>
          <w:sz w:val="44"/>
          <w:szCs w:val="44"/>
        </w:rPr>
      </w:pPr>
    </w:p>
    <w:p w14:paraId="1804C449" w14:textId="77777777" w:rsidR="00D25E16" w:rsidRDefault="00D74D86">
      <w:pPr>
        <w:spacing w:line="560" w:lineRule="exact"/>
        <w:jc w:val="center"/>
        <w:rPr>
          <w:rFonts w:ascii="仿宋_GB2312" w:eastAsia="仿宋" w:hAnsi="Times New Roman" w:cs="Times New Roman"/>
          <w:b/>
          <w:color w:val="000000"/>
          <w:sz w:val="44"/>
          <w:szCs w:val="44"/>
        </w:rPr>
      </w:pPr>
      <w:r>
        <w:rPr>
          <w:rFonts w:ascii="仿宋_GB2312" w:eastAsia="仿宋" w:hAnsi="Times New Roman" w:cs="Times New Roman" w:hint="eastAsia"/>
          <w:b/>
          <w:color w:val="000000"/>
          <w:sz w:val="44"/>
          <w:szCs w:val="44"/>
        </w:rPr>
        <w:t>【创设机构全称】</w:t>
      </w:r>
    </w:p>
    <w:p w14:paraId="09EAE0B1" w14:textId="77777777" w:rsidR="00D25E16" w:rsidRDefault="00D74D86">
      <w:pPr>
        <w:spacing w:line="560" w:lineRule="exact"/>
        <w:jc w:val="center"/>
        <w:rPr>
          <w:rFonts w:ascii="仿宋_GB2312" w:eastAsia="仿宋" w:hAnsi="Times New Roman" w:cs="Times New Roman"/>
          <w:b/>
          <w:color w:val="000000"/>
          <w:sz w:val="44"/>
          <w:szCs w:val="44"/>
        </w:rPr>
      </w:pPr>
      <w:r>
        <w:rPr>
          <w:rFonts w:ascii="仿宋_GB2312" w:eastAsia="仿宋" w:hAnsi="Times New Roman" w:cs="Times New Roman" w:hint="eastAsia"/>
          <w:b/>
          <w:color w:val="000000"/>
          <w:sz w:val="44"/>
          <w:szCs w:val="44"/>
        </w:rPr>
        <w:t>本期计划创设名义本金【】万元</w:t>
      </w:r>
    </w:p>
    <w:p w14:paraId="12BA944F" w14:textId="77777777" w:rsidR="00D25E16" w:rsidRDefault="00D25E16">
      <w:pPr>
        <w:spacing w:line="560" w:lineRule="exact"/>
        <w:jc w:val="center"/>
        <w:rPr>
          <w:rFonts w:ascii="仿宋_GB2312" w:eastAsia="仿宋" w:hAnsi="Times New Roman" w:cs="Times New Roman"/>
          <w:b/>
          <w:color w:val="000000"/>
          <w:sz w:val="44"/>
          <w:szCs w:val="44"/>
        </w:rPr>
      </w:pPr>
    </w:p>
    <w:p w14:paraId="1AD86268" w14:textId="77777777" w:rsidR="00D25E16" w:rsidRDefault="00D25E16">
      <w:pPr>
        <w:spacing w:line="560" w:lineRule="exact"/>
        <w:jc w:val="center"/>
        <w:rPr>
          <w:rFonts w:ascii="仿宋_GB2312" w:eastAsia="仿宋" w:hAnsi="Times New Roman" w:cs="Times New Roman"/>
          <w:b/>
          <w:color w:val="000000"/>
          <w:sz w:val="44"/>
          <w:szCs w:val="44"/>
        </w:rPr>
      </w:pPr>
    </w:p>
    <w:p w14:paraId="7A440319" w14:textId="77777777" w:rsidR="00D25E16" w:rsidRDefault="00D25E16">
      <w:pPr>
        <w:spacing w:line="560" w:lineRule="exact"/>
        <w:jc w:val="center"/>
        <w:rPr>
          <w:rFonts w:ascii="仿宋_GB2312" w:eastAsia="仿宋" w:hAnsi="Times New Roman" w:cs="Times New Roman"/>
          <w:b/>
          <w:color w:val="000000"/>
          <w:sz w:val="44"/>
          <w:szCs w:val="44"/>
        </w:rPr>
      </w:pPr>
    </w:p>
    <w:p w14:paraId="1E37D5B0" w14:textId="77777777" w:rsidR="00D25E16" w:rsidRDefault="00D25E16">
      <w:pPr>
        <w:spacing w:line="560" w:lineRule="exact"/>
        <w:jc w:val="center"/>
        <w:rPr>
          <w:rFonts w:ascii="仿宋_GB2312" w:eastAsia="仿宋" w:hAnsi="Times New Roman" w:cs="Times New Roman"/>
          <w:b/>
          <w:color w:val="000000"/>
          <w:sz w:val="44"/>
          <w:szCs w:val="44"/>
        </w:rPr>
      </w:pPr>
    </w:p>
    <w:p w14:paraId="6ABC5B4B" w14:textId="77777777" w:rsidR="00D25E16" w:rsidRDefault="00D74D86">
      <w:pPr>
        <w:spacing w:line="560" w:lineRule="exact"/>
        <w:jc w:val="center"/>
        <w:rPr>
          <w:rFonts w:ascii="仿宋_GB2312" w:eastAsia="仿宋" w:hAnsi="Times New Roman" w:cs="Times New Roman"/>
          <w:b/>
          <w:color w:val="000000"/>
          <w:sz w:val="24"/>
          <w:szCs w:val="24"/>
        </w:rPr>
        <w:sectPr w:rsidR="00D25E16">
          <w:pgSz w:w="11906" w:h="16838"/>
          <w:pgMar w:top="1440" w:right="1800" w:bottom="1440" w:left="1800" w:header="851" w:footer="992" w:gutter="0"/>
          <w:cols w:space="720"/>
          <w:docGrid w:type="lines" w:linePitch="312"/>
        </w:sectPr>
      </w:pPr>
      <w:r>
        <w:rPr>
          <w:rFonts w:ascii="仿宋_GB2312" w:eastAsia="仿宋" w:hAnsi="Times New Roman" w:cs="Times New Roman" w:hint="eastAsia"/>
          <w:b/>
          <w:color w:val="000000"/>
          <w:sz w:val="44"/>
          <w:szCs w:val="44"/>
        </w:rPr>
        <w:t>【】年【】月</w:t>
      </w:r>
    </w:p>
    <w:p w14:paraId="5707348C" w14:textId="77777777" w:rsidR="00D25E16" w:rsidRDefault="00D74D86">
      <w:pPr>
        <w:keepNext/>
        <w:keepLines/>
        <w:snapToGrid w:val="0"/>
        <w:spacing w:line="560" w:lineRule="exact"/>
        <w:jc w:val="center"/>
        <w:outlineLvl w:val="0"/>
        <w:rPr>
          <w:rFonts w:ascii="仿宋" w:eastAsia="仿宋" w:hAnsi="仿宋" w:cs="Times New Roman" w:hint="eastAsia"/>
          <w:b/>
          <w:bCs/>
          <w:color w:val="000000"/>
          <w:kern w:val="44"/>
          <w:sz w:val="32"/>
          <w:szCs w:val="32"/>
        </w:rPr>
      </w:pPr>
      <w:bookmarkStart w:id="0" w:name="_Toc529953353"/>
      <w:bookmarkStart w:id="1" w:name="_Toc8186"/>
      <w:bookmarkStart w:id="2" w:name="_Toc20799"/>
      <w:bookmarkStart w:id="3" w:name="_Toc8635"/>
      <w:bookmarkStart w:id="4" w:name="_Toc205973685"/>
      <w:bookmarkStart w:id="5" w:name="_Toc12916"/>
      <w:bookmarkStart w:id="6" w:name="_Toc2567"/>
      <w:bookmarkStart w:id="7" w:name="_Toc530063599"/>
      <w:bookmarkStart w:id="8" w:name="_Toc205931248"/>
      <w:bookmarkStart w:id="9" w:name="_Toc69077732"/>
      <w:bookmarkStart w:id="10" w:name="_Toc194265678"/>
      <w:bookmarkStart w:id="11" w:name="_Toc201842735"/>
      <w:r>
        <w:rPr>
          <w:rFonts w:ascii="仿宋" w:eastAsia="仿宋" w:hAnsi="仿宋" w:cs="Times New Roman" w:hint="eastAsia"/>
          <w:b/>
          <w:bCs/>
          <w:color w:val="000000"/>
          <w:kern w:val="44"/>
          <w:sz w:val="32"/>
          <w:szCs w:val="32"/>
        </w:rPr>
        <w:lastRenderedPageBreak/>
        <w:t>声 明</w:t>
      </w:r>
      <w:bookmarkEnd w:id="0"/>
      <w:bookmarkEnd w:id="1"/>
      <w:bookmarkEnd w:id="2"/>
      <w:bookmarkEnd w:id="3"/>
      <w:bookmarkEnd w:id="4"/>
      <w:bookmarkEnd w:id="5"/>
      <w:bookmarkEnd w:id="6"/>
      <w:bookmarkEnd w:id="7"/>
      <w:bookmarkEnd w:id="8"/>
      <w:bookmarkEnd w:id="9"/>
      <w:bookmarkEnd w:id="10"/>
      <w:bookmarkEnd w:id="11"/>
    </w:p>
    <w:p w14:paraId="4A77B2B4"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D0F870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根据《银行间市场信用风险缓释工具业务规则》《信用风险缓释凭证业务指引》《信用风险缓释凭证信息披露操作细则》《信用风险缓释凭证创设定价操作细则》《信用风险缓释凭证持有人会议规程》等自律规则创设。创设机构承诺本创设说明书中不存在虚假记载、误导性陈述或重大遗漏，并对其真实性、准确性和完整性承担法律责任。</w:t>
      </w:r>
    </w:p>
    <w:p w14:paraId="07BCA12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创设机构负责人和主管会计工作的负责人、会计机构负责人保证本创设说明书所述本机构的财务信息真实、准确、完整、及时。</w:t>
      </w:r>
    </w:p>
    <w:p w14:paraId="6A7F9EF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凡通过认购、受让等合法手段取得并持有本期凭证的，均视同自愿接受本创设说明书对本期信用风险缓释凭证各项权利义务的约定。本期信用风险缓释凭证属于信用风险缓释工具，请投资者仔细阅读本创设说明书全文及有关的信息披露文件，独立判断投资价值，自行承担投资风险。</w:t>
      </w:r>
    </w:p>
    <w:p w14:paraId="3D01B03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创设机构承诺根据法律法规的规定和本创设说明书的约定履行义务，接受投资者监督。</w:t>
      </w:r>
    </w:p>
    <w:p w14:paraId="3188BB17" w14:textId="77777777" w:rsidR="00D25E16" w:rsidRDefault="00D74D86" w:rsidP="00AC68A4">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截至本创设说明书签署日，除已披露信息外，无其他影响偿付能力的重大事项。</w:t>
      </w:r>
    </w:p>
    <w:p w14:paraId="04D0E819" w14:textId="04A15BA6" w:rsidR="00AC68A4" w:rsidRDefault="00AC68A4" w:rsidP="00AC68A4">
      <w:pPr>
        <w:spacing w:line="560" w:lineRule="exact"/>
        <w:ind w:firstLineChars="200" w:firstLine="640"/>
        <w:rPr>
          <w:rFonts w:ascii="仿宋" w:eastAsia="仿宋" w:hAnsi="仿宋" w:cs="Times New Roman" w:hint="eastAsia"/>
          <w:color w:val="000000"/>
          <w:sz w:val="32"/>
          <w:szCs w:val="32"/>
        </w:rPr>
        <w:sectPr w:rsidR="00AC68A4">
          <w:footerReference w:type="default" r:id="rId14"/>
          <w:pgSz w:w="11906" w:h="16838"/>
          <w:pgMar w:top="1440" w:right="1800" w:bottom="1440" w:left="1800" w:header="851" w:footer="992" w:gutter="0"/>
          <w:cols w:space="720"/>
          <w:docGrid w:type="lines" w:linePitch="312"/>
        </w:sectPr>
      </w:pPr>
    </w:p>
    <w:p w14:paraId="5D64C592" w14:textId="77777777" w:rsidR="00D25E16" w:rsidRDefault="00D74D86">
      <w:pPr>
        <w:keepNext/>
        <w:keepLines/>
        <w:widowControl/>
        <w:spacing w:line="560" w:lineRule="exact"/>
        <w:jc w:val="center"/>
        <w:rPr>
          <w:rFonts w:ascii="仿宋" w:eastAsia="仿宋" w:hAnsi="仿宋" w:cs="Times New Roman" w:hint="eastAsia"/>
          <w:b/>
          <w:bCs/>
          <w:color w:val="000000"/>
          <w:kern w:val="0"/>
          <w:sz w:val="32"/>
          <w:szCs w:val="32"/>
        </w:rPr>
      </w:pPr>
      <w:bookmarkStart w:id="12" w:name="_Toc19453"/>
      <w:bookmarkStart w:id="13" w:name="_Toc32501"/>
      <w:bookmarkStart w:id="14" w:name="_Toc467964227"/>
      <w:bookmarkStart w:id="15" w:name="_Toc530063600"/>
      <w:bookmarkStart w:id="16" w:name="_Toc10607"/>
      <w:bookmarkStart w:id="17" w:name="_Toc27942"/>
      <w:bookmarkStart w:id="18" w:name="_Toc468016882"/>
      <w:r>
        <w:rPr>
          <w:rFonts w:ascii="仿宋" w:eastAsia="仿宋" w:hAnsi="仿宋" w:cs="Times New Roman" w:hint="eastAsia"/>
          <w:b/>
          <w:bCs/>
          <w:color w:val="000000"/>
          <w:kern w:val="0"/>
          <w:sz w:val="32"/>
          <w:szCs w:val="32"/>
          <w:lang w:val="zh-CN"/>
        </w:rPr>
        <w:lastRenderedPageBreak/>
        <w:t>目  录</w:t>
      </w:r>
    </w:p>
    <w:p w14:paraId="7DFC5E9B" w14:textId="77777777" w:rsidR="00D25E16" w:rsidRPr="0064744F" w:rsidRDefault="00D25E16">
      <w:pPr>
        <w:tabs>
          <w:tab w:val="left" w:pos="750"/>
          <w:tab w:val="left" w:pos="960"/>
          <w:tab w:val="right" w:leader="dot" w:pos="8296"/>
        </w:tabs>
        <w:spacing w:line="560" w:lineRule="exact"/>
        <w:rPr>
          <w:rFonts w:ascii="仿宋" w:eastAsia="仿宋" w:hAnsi="仿宋" w:cs="仿宋" w:hint="eastAsia"/>
          <w:sz w:val="32"/>
          <w:szCs w:val="32"/>
        </w:rPr>
      </w:pPr>
      <w:r w:rsidRPr="0064744F">
        <w:rPr>
          <w:rFonts w:ascii="仿宋" w:eastAsia="仿宋" w:hAnsi="仿宋" w:cs="仿宋" w:hint="eastAsia"/>
          <w:color w:val="000000"/>
          <w:sz w:val="32"/>
          <w:szCs w:val="32"/>
          <w:highlight w:val="yellow"/>
          <w:lang w:val="zh-CN"/>
        </w:rPr>
        <w:fldChar w:fldCharType="begin"/>
      </w:r>
      <w:r w:rsidR="00D74D86" w:rsidRPr="0064744F">
        <w:rPr>
          <w:rFonts w:ascii="仿宋" w:eastAsia="仿宋" w:hAnsi="仿宋" w:cs="仿宋" w:hint="eastAsia"/>
          <w:color w:val="000000"/>
          <w:sz w:val="32"/>
          <w:szCs w:val="32"/>
          <w:highlight w:val="yellow"/>
          <w:lang w:val="zh-CN"/>
        </w:rPr>
        <w:instrText xml:space="preserve"> TOC \o "1-3" \h \z \u </w:instrText>
      </w:r>
      <w:r w:rsidRPr="0064744F">
        <w:rPr>
          <w:rFonts w:ascii="仿宋" w:eastAsia="仿宋" w:hAnsi="仿宋" w:cs="仿宋" w:hint="eastAsia"/>
          <w:color w:val="000000"/>
          <w:sz w:val="32"/>
          <w:szCs w:val="32"/>
          <w:highlight w:val="yellow"/>
          <w:lang w:val="zh-CN"/>
        </w:rPr>
        <w:fldChar w:fldCharType="separate"/>
      </w:r>
    </w:p>
    <w:p w14:paraId="55C66814"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686" w:history="1">
        <w:r w:rsidRPr="00BE7BB7">
          <w:rPr>
            <w:rFonts w:ascii="仿宋" w:eastAsia="仿宋" w:hAnsi="仿宋" w:cs="仿宋" w:hint="eastAsia"/>
            <w:kern w:val="44"/>
            <w:sz w:val="32"/>
            <w:szCs w:val="32"/>
          </w:rPr>
          <w:t>第一章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释义</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_Toc205973686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8</w:t>
        </w:r>
        <w:r w:rsidR="00D25E16" w:rsidRPr="00BE7BB7">
          <w:rPr>
            <w:rFonts w:ascii="仿宋" w:eastAsia="仿宋" w:hAnsi="仿宋" w:cs="仿宋" w:hint="eastAsia"/>
            <w:sz w:val="32"/>
            <w:szCs w:val="32"/>
          </w:rPr>
          <w:fldChar w:fldCharType="end"/>
        </w:r>
      </w:hyperlink>
    </w:p>
    <w:p w14:paraId="3793A633"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687" w:history="1">
        <w:r w:rsidRPr="00BE7BB7">
          <w:rPr>
            <w:rFonts w:ascii="仿宋" w:eastAsia="仿宋" w:hAnsi="仿宋" w:cs="仿宋" w:hint="eastAsia"/>
            <w:kern w:val="44"/>
            <w:sz w:val="32"/>
            <w:szCs w:val="32"/>
          </w:rPr>
          <w:t>第二章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风险提示及特别说明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_Toc205973687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10</w:t>
        </w:r>
        <w:r w:rsidR="00D25E16" w:rsidRPr="00BE7BB7">
          <w:rPr>
            <w:rFonts w:ascii="仿宋" w:eastAsia="仿宋" w:hAnsi="仿宋" w:cs="仿宋" w:hint="eastAsia"/>
            <w:sz w:val="32"/>
            <w:szCs w:val="32"/>
          </w:rPr>
          <w:fldChar w:fldCharType="end"/>
        </w:r>
      </w:hyperlink>
    </w:p>
    <w:p w14:paraId="365BD1B0"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88" w:history="1">
        <w:r w:rsidRPr="00BE7BB7">
          <w:rPr>
            <w:rFonts w:ascii="仿宋" w:eastAsia="仿宋" w:hAnsi="仿宋" w:cs="仿宋" w:hint="eastAsia"/>
            <w:sz w:val="32"/>
            <w:szCs w:val="32"/>
          </w:rPr>
          <w:t>一、投资风险提示</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_Toc205973688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10</w:t>
        </w:r>
        <w:r w:rsidR="00D25E16" w:rsidRPr="00BE7BB7">
          <w:rPr>
            <w:rFonts w:ascii="仿宋" w:eastAsia="仿宋" w:hAnsi="仿宋" w:cs="仿宋" w:hint="eastAsia"/>
            <w:sz w:val="32"/>
            <w:szCs w:val="32"/>
          </w:rPr>
          <w:fldChar w:fldCharType="end"/>
        </w:r>
      </w:hyperlink>
    </w:p>
    <w:p w14:paraId="7B881AA3"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89" w:history="1">
        <w:r w:rsidRPr="00BE7BB7">
          <w:rPr>
            <w:rFonts w:ascii="仿宋" w:eastAsia="仿宋" w:hAnsi="仿宋" w:cs="仿宋" w:hint="eastAsia"/>
            <w:sz w:val="32"/>
            <w:szCs w:val="32"/>
          </w:rPr>
          <w:t>二、关联方关系说明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_Toc205973689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2F72C6EB"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0" w:history="1">
        <w:r w:rsidRPr="00BE7BB7">
          <w:rPr>
            <w:rFonts w:ascii="仿宋" w:eastAsia="仿宋" w:hAnsi="仿宋" w:cs="仿宋" w:hint="eastAsia"/>
            <w:kern w:val="0"/>
            <w:sz w:val="32"/>
            <w:szCs w:val="32"/>
          </w:rPr>
          <w:t>三、投资者适当性标准特殊说明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_Toc205973690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6145E7D5"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1" w:history="1">
        <w:r w:rsidRPr="00BE7BB7">
          <w:rPr>
            <w:rFonts w:ascii="仿宋" w:eastAsia="仿宋" w:hAnsi="仿宋" w:cs="仿宋" w:hint="eastAsia"/>
            <w:kern w:val="0"/>
            <w:sz w:val="32"/>
            <w:szCs w:val="32"/>
          </w:rPr>
          <w:t>四、信用事件条款说明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_Toc205973691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51DBB4A3"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2" w:history="1">
        <w:r w:rsidRPr="00BE7BB7">
          <w:rPr>
            <w:rFonts w:ascii="仿宋" w:eastAsia="仿宋" w:hAnsi="仿宋" w:cs="仿宋" w:hint="eastAsia"/>
            <w:kern w:val="0"/>
            <w:sz w:val="32"/>
            <w:szCs w:val="32"/>
          </w:rPr>
          <w:t>五、创设安排及交易流通特殊说明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_Toc205973692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74ADBE62"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3" w:history="1">
        <w:r w:rsidRPr="00BE7BB7">
          <w:rPr>
            <w:rFonts w:ascii="仿宋" w:eastAsia="仿宋" w:hAnsi="仿宋" w:cs="仿宋" w:hint="eastAsia"/>
            <w:kern w:val="0"/>
            <w:sz w:val="32"/>
            <w:szCs w:val="32"/>
          </w:rPr>
          <w:t>六、结算方式特殊说明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_Toc205973693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486DA864"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4" w:history="1">
        <w:r w:rsidRPr="00BE7BB7">
          <w:rPr>
            <w:rFonts w:ascii="仿宋" w:eastAsia="仿宋" w:hAnsi="仿宋" w:cs="仿宋" w:hint="eastAsia"/>
            <w:kern w:val="0"/>
            <w:sz w:val="32"/>
            <w:szCs w:val="32"/>
          </w:rPr>
          <w:t>七、持有人会议特殊说明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_Toc205973694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31E1E8A9"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5" w:history="1">
        <w:r w:rsidRPr="00BE7BB7">
          <w:rPr>
            <w:rFonts w:ascii="仿宋" w:eastAsia="仿宋" w:hAnsi="仿宋" w:cs="仿宋" w:hint="eastAsia"/>
            <w:sz w:val="32"/>
            <w:szCs w:val="32"/>
          </w:rPr>
          <w:t>八、其他事项说明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_Toc205973695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11</w:t>
        </w:r>
        <w:r w:rsidR="00D25E16" w:rsidRPr="00BE7BB7">
          <w:rPr>
            <w:rFonts w:ascii="仿宋" w:eastAsia="仿宋" w:hAnsi="仿宋" w:cs="仿宋" w:hint="eastAsia"/>
            <w:sz w:val="32"/>
            <w:szCs w:val="32"/>
          </w:rPr>
          <w:fldChar w:fldCharType="end"/>
        </w:r>
      </w:hyperlink>
    </w:p>
    <w:p w14:paraId="42A75730"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696" w:history="1">
        <w:r w:rsidRPr="00BE7BB7">
          <w:rPr>
            <w:rFonts w:ascii="仿宋" w:eastAsia="仿宋" w:hAnsi="仿宋" w:cs="仿宋" w:hint="eastAsia"/>
            <w:kern w:val="44"/>
            <w:sz w:val="32"/>
            <w:szCs w:val="32"/>
          </w:rPr>
          <w:t>第三章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创设条款</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13</w:t>
        </w:r>
        <w:r w:rsidR="00D25E16" w:rsidRPr="00BE7BB7">
          <w:rPr>
            <w:rFonts w:ascii="仿宋" w:eastAsia="仿宋" w:hAnsi="仿宋" w:cs="仿宋" w:hint="eastAsia"/>
            <w:sz w:val="32"/>
            <w:szCs w:val="32"/>
          </w:rPr>
          <w:fldChar w:fldCharType="end"/>
        </w:r>
      </w:hyperlink>
    </w:p>
    <w:p w14:paraId="28C8A455"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7" w:history="1">
        <w:r w:rsidRPr="00BE7BB7">
          <w:rPr>
            <w:rFonts w:ascii="仿宋" w:eastAsia="仿宋" w:hAnsi="仿宋" w:cs="仿宋" w:hint="eastAsia"/>
            <w:sz w:val="32"/>
            <w:szCs w:val="32"/>
          </w:rPr>
          <w:t>一、创设要素</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13</w:t>
        </w:r>
        <w:r w:rsidR="00D25E16" w:rsidRPr="00BE7BB7">
          <w:rPr>
            <w:rFonts w:ascii="仿宋" w:eastAsia="仿宋" w:hAnsi="仿宋" w:cs="仿宋" w:hint="eastAsia"/>
            <w:sz w:val="32"/>
            <w:szCs w:val="32"/>
          </w:rPr>
          <w:fldChar w:fldCharType="end"/>
        </w:r>
      </w:hyperlink>
    </w:p>
    <w:p w14:paraId="345506D4"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8" w:history="1">
        <w:r w:rsidRPr="00BE7BB7">
          <w:rPr>
            <w:rFonts w:ascii="仿宋" w:eastAsia="仿宋" w:hAnsi="仿宋" w:cs="仿宋" w:hint="eastAsia"/>
            <w:sz w:val="32"/>
            <w:szCs w:val="32"/>
          </w:rPr>
          <w:t>二、创设销售流程</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_Toc205973698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15</w:t>
        </w:r>
        <w:r w:rsidR="00D25E16" w:rsidRPr="00BE7BB7">
          <w:rPr>
            <w:rFonts w:ascii="仿宋" w:eastAsia="仿宋" w:hAnsi="仿宋" w:cs="仿宋" w:hint="eastAsia"/>
            <w:sz w:val="32"/>
            <w:szCs w:val="32"/>
          </w:rPr>
          <w:fldChar w:fldCharType="end"/>
        </w:r>
      </w:hyperlink>
    </w:p>
    <w:p w14:paraId="3CF3C477"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699" w:history="1">
        <w:r w:rsidRPr="00BE7BB7">
          <w:rPr>
            <w:rFonts w:ascii="仿宋" w:eastAsia="仿宋" w:hAnsi="仿宋" w:cs="仿宋" w:hint="eastAsia"/>
            <w:sz w:val="32"/>
            <w:szCs w:val="32"/>
          </w:rPr>
          <w:t>三、凭证登记托管安排</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_Toc205973699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20</w:t>
        </w:r>
        <w:r w:rsidR="00D25E16" w:rsidRPr="00BE7BB7">
          <w:rPr>
            <w:rFonts w:ascii="仿宋" w:eastAsia="仿宋" w:hAnsi="仿宋" w:cs="仿宋" w:hint="eastAsia"/>
            <w:sz w:val="32"/>
            <w:szCs w:val="32"/>
          </w:rPr>
          <w:fldChar w:fldCharType="end"/>
        </w:r>
      </w:hyperlink>
    </w:p>
    <w:p w14:paraId="6EC4CDB6"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0" w:history="1">
        <w:r w:rsidRPr="00BE7BB7">
          <w:rPr>
            <w:rFonts w:ascii="仿宋" w:eastAsia="仿宋" w:hAnsi="仿宋" w:cs="仿宋" w:hint="eastAsia"/>
            <w:sz w:val="32"/>
            <w:szCs w:val="32"/>
          </w:rPr>
          <w:t>四、信用保护费支付安排</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_Toc205973700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20</w:t>
        </w:r>
        <w:r w:rsidR="00D25E16" w:rsidRPr="00BE7BB7">
          <w:rPr>
            <w:rFonts w:ascii="仿宋" w:eastAsia="仿宋" w:hAnsi="仿宋" w:cs="仿宋" w:hint="eastAsia"/>
            <w:sz w:val="32"/>
            <w:szCs w:val="32"/>
          </w:rPr>
          <w:fldChar w:fldCharType="end"/>
        </w:r>
      </w:hyperlink>
    </w:p>
    <w:p w14:paraId="0F14C012"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1" w:history="1">
        <w:r w:rsidRPr="00BE7BB7">
          <w:rPr>
            <w:rFonts w:ascii="仿宋" w:eastAsia="仿宋" w:hAnsi="仿宋" w:cs="仿宋" w:hint="eastAsia"/>
            <w:sz w:val="32"/>
            <w:szCs w:val="32"/>
          </w:rPr>
          <w:t>五、凭证的交易流通</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_Toc205973701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21</w:t>
        </w:r>
        <w:r w:rsidR="00D25E16" w:rsidRPr="00BE7BB7">
          <w:rPr>
            <w:rFonts w:ascii="仿宋" w:eastAsia="仿宋" w:hAnsi="仿宋" w:cs="仿宋" w:hint="eastAsia"/>
            <w:sz w:val="32"/>
            <w:szCs w:val="32"/>
          </w:rPr>
          <w:fldChar w:fldCharType="end"/>
        </w:r>
      </w:hyperlink>
    </w:p>
    <w:p w14:paraId="2A193D3F"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03" w:history="1">
        <w:r w:rsidRPr="00BE7BB7">
          <w:rPr>
            <w:rFonts w:ascii="仿宋" w:eastAsia="仿宋" w:hAnsi="仿宋" w:cs="仿宋" w:hint="eastAsia"/>
            <w:kern w:val="44"/>
            <w:sz w:val="32"/>
            <w:szCs w:val="32"/>
          </w:rPr>
          <w:t>第四章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信息披露安排</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_Toc205973703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22</w:t>
        </w:r>
        <w:r w:rsidR="00D25E16" w:rsidRPr="00BE7BB7">
          <w:rPr>
            <w:rFonts w:ascii="仿宋" w:eastAsia="仿宋" w:hAnsi="仿宋" w:cs="仿宋" w:hint="eastAsia"/>
            <w:sz w:val="32"/>
            <w:szCs w:val="32"/>
          </w:rPr>
          <w:fldChar w:fldCharType="end"/>
        </w:r>
      </w:hyperlink>
    </w:p>
    <w:p w14:paraId="254F5109"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4" w:history="1">
        <w:r w:rsidRPr="00BE7BB7">
          <w:rPr>
            <w:rFonts w:ascii="仿宋" w:eastAsia="仿宋" w:hAnsi="仿宋" w:cs="仿宋" w:hint="eastAsia"/>
            <w:sz w:val="32"/>
            <w:szCs w:val="32"/>
          </w:rPr>
          <w:t>一、创设信息披露</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_Toc205973704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22</w:t>
        </w:r>
        <w:r w:rsidR="00D25E16" w:rsidRPr="00BE7BB7">
          <w:rPr>
            <w:rFonts w:ascii="仿宋" w:eastAsia="仿宋" w:hAnsi="仿宋" w:cs="仿宋" w:hint="eastAsia"/>
            <w:sz w:val="32"/>
            <w:szCs w:val="32"/>
          </w:rPr>
          <w:fldChar w:fldCharType="end"/>
        </w:r>
      </w:hyperlink>
    </w:p>
    <w:p w14:paraId="6EE4941E"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5" w:history="1">
        <w:r w:rsidRPr="00BE7BB7">
          <w:rPr>
            <w:rFonts w:ascii="仿宋" w:eastAsia="仿宋" w:hAnsi="仿宋" w:cs="仿宋" w:hint="eastAsia"/>
            <w:sz w:val="32"/>
            <w:szCs w:val="32"/>
          </w:rPr>
          <w:t>二、存续期定期披露</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_Toc205973705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22</w:t>
        </w:r>
        <w:r w:rsidR="00D25E16" w:rsidRPr="00BE7BB7">
          <w:rPr>
            <w:rFonts w:ascii="仿宋" w:eastAsia="仿宋" w:hAnsi="仿宋" w:cs="仿宋" w:hint="eastAsia"/>
            <w:sz w:val="32"/>
            <w:szCs w:val="32"/>
          </w:rPr>
          <w:fldChar w:fldCharType="end"/>
        </w:r>
      </w:hyperlink>
    </w:p>
    <w:p w14:paraId="52133889"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6" w:history="1">
        <w:r w:rsidRPr="00BE7BB7">
          <w:rPr>
            <w:rFonts w:ascii="仿宋" w:eastAsia="仿宋" w:hAnsi="仿宋" w:cs="仿宋" w:hint="eastAsia"/>
            <w:sz w:val="32"/>
            <w:szCs w:val="32"/>
          </w:rPr>
          <w:t>三、存续期重大事项披露</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23</w:t>
        </w:r>
        <w:r w:rsidR="00D25E16" w:rsidRPr="00BE7BB7">
          <w:rPr>
            <w:rFonts w:ascii="仿宋" w:eastAsia="仿宋" w:hAnsi="仿宋" w:cs="仿宋" w:hint="eastAsia"/>
            <w:sz w:val="32"/>
            <w:szCs w:val="32"/>
          </w:rPr>
          <w:fldChar w:fldCharType="end"/>
        </w:r>
      </w:hyperlink>
    </w:p>
    <w:p w14:paraId="466CC080"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7" w:history="1">
        <w:r w:rsidRPr="00BE7BB7">
          <w:rPr>
            <w:rFonts w:ascii="仿宋" w:eastAsia="仿宋" w:hAnsi="仿宋" w:cs="仿宋" w:hint="eastAsia"/>
            <w:sz w:val="32"/>
            <w:szCs w:val="32"/>
          </w:rPr>
          <w:t>四、提前注销的信息披露</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24</w:t>
        </w:r>
        <w:r w:rsidR="00D25E16" w:rsidRPr="00BE7BB7">
          <w:rPr>
            <w:rFonts w:ascii="仿宋" w:eastAsia="仿宋" w:hAnsi="仿宋" w:cs="仿宋" w:hint="eastAsia"/>
            <w:sz w:val="32"/>
            <w:szCs w:val="32"/>
          </w:rPr>
          <w:fldChar w:fldCharType="end"/>
        </w:r>
      </w:hyperlink>
    </w:p>
    <w:p w14:paraId="5521DB72"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08" w:history="1">
        <w:r w:rsidRPr="00BE7BB7">
          <w:rPr>
            <w:rFonts w:ascii="仿宋" w:eastAsia="仿宋" w:hAnsi="仿宋" w:cs="仿宋" w:hint="eastAsia"/>
            <w:sz w:val="32"/>
            <w:szCs w:val="32"/>
          </w:rPr>
          <w:t>五、信用事件触发的信息披露</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_Toc205973708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24</w:t>
        </w:r>
        <w:r w:rsidR="00D25E16" w:rsidRPr="00BE7BB7">
          <w:rPr>
            <w:rFonts w:ascii="仿宋" w:eastAsia="仿宋" w:hAnsi="仿宋" w:cs="仿宋" w:hint="eastAsia"/>
            <w:sz w:val="32"/>
            <w:szCs w:val="32"/>
          </w:rPr>
          <w:fldChar w:fldCharType="end"/>
        </w:r>
      </w:hyperlink>
    </w:p>
    <w:p w14:paraId="0EEC824D"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09" w:history="1">
        <w:r w:rsidRPr="00BE7BB7">
          <w:rPr>
            <w:rFonts w:ascii="仿宋" w:eastAsia="仿宋" w:hAnsi="仿宋" w:cs="仿宋" w:hint="eastAsia"/>
            <w:kern w:val="44"/>
            <w:sz w:val="32"/>
            <w:szCs w:val="32"/>
          </w:rPr>
          <w:t>第五章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创设机构基本情况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_Toc205973709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224F8E4E"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0" w:history="1">
        <w:r w:rsidRPr="00BE7BB7">
          <w:rPr>
            <w:rFonts w:ascii="仿宋" w:eastAsia="仿宋" w:hAnsi="仿宋" w:cs="仿宋" w:hint="eastAsia"/>
            <w:sz w:val="32"/>
            <w:szCs w:val="32"/>
          </w:rPr>
          <w:t>一、创设机构基本情况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_Toc205973710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61130101"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1" w:history="1">
        <w:r w:rsidRPr="00BE7BB7">
          <w:rPr>
            <w:rFonts w:ascii="仿宋" w:eastAsia="仿宋" w:hAnsi="仿宋" w:cs="仿宋" w:hint="eastAsia"/>
            <w:sz w:val="32"/>
            <w:szCs w:val="32"/>
          </w:rPr>
          <w:t>二、创设机构信用情况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_Toc205973711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311A65D2"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2" w:history="1">
        <w:r w:rsidRPr="00BE7BB7">
          <w:rPr>
            <w:rFonts w:ascii="仿宋" w:eastAsia="仿宋" w:hAnsi="仿宋" w:cs="仿宋" w:hint="eastAsia"/>
            <w:sz w:val="32"/>
            <w:szCs w:val="32"/>
          </w:rPr>
          <w:t>三、创设机构财务情况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_Toc205973712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5CC0F6B0"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3" w:history="1">
        <w:r w:rsidRPr="00BE7BB7">
          <w:rPr>
            <w:rFonts w:ascii="仿宋" w:eastAsia="仿宋" w:hAnsi="仿宋" w:cs="仿宋" w:hint="eastAsia"/>
            <w:sz w:val="32"/>
            <w:szCs w:val="32"/>
          </w:rPr>
          <w:t>四、创设机构合规情况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_Toc205973713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71C4B020"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14" w:history="1">
        <w:r w:rsidRPr="00BE7BB7">
          <w:rPr>
            <w:rFonts w:ascii="仿宋" w:eastAsia="仿宋" w:hAnsi="仿宋" w:cs="仿宋" w:hint="eastAsia"/>
            <w:kern w:val="44"/>
            <w:sz w:val="32"/>
            <w:szCs w:val="32"/>
          </w:rPr>
          <w:t>第六章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参考实体及参考债务基本情况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_Toc205973714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21A5B4F0"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5" w:history="1">
        <w:r w:rsidRPr="00BE7BB7">
          <w:rPr>
            <w:rFonts w:ascii="仿宋" w:eastAsia="仿宋" w:hAnsi="仿宋" w:cs="仿宋" w:hint="eastAsia"/>
            <w:sz w:val="32"/>
            <w:szCs w:val="32"/>
          </w:rPr>
          <w:t>一、参考实体情况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_Toc205973715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6D1B11A8"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6" w:history="1">
        <w:r w:rsidRPr="00BE7BB7">
          <w:rPr>
            <w:rFonts w:ascii="仿宋" w:eastAsia="仿宋" w:hAnsi="仿宋" w:cs="仿宋" w:hint="eastAsia"/>
            <w:sz w:val="32"/>
            <w:szCs w:val="32"/>
          </w:rPr>
          <w:t>二、债务种类</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42815C42"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7" w:history="1">
        <w:r w:rsidRPr="00BE7BB7">
          <w:rPr>
            <w:rFonts w:ascii="仿宋" w:eastAsia="仿宋" w:hAnsi="仿宋" w:cs="仿宋" w:hint="eastAsia"/>
            <w:sz w:val="32"/>
            <w:szCs w:val="32"/>
          </w:rPr>
          <w:t>三、债务特征</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77BD1E20"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18" w:history="1">
        <w:r w:rsidRPr="00BE7BB7">
          <w:rPr>
            <w:rFonts w:ascii="仿宋" w:eastAsia="仿宋" w:hAnsi="仿宋" w:cs="仿宋" w:hint="eastAsia"/>
            <w:sz w:val="32"/>
            <w:szCs w:val="32"/>
          </w:rPr>
          <w:t>四、参考债务情况</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_Toc205973718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25</w:t>
        </w:r>
        <w:r w:rsidR="00D25E16" w:rsidRPr="00BE7BB7">
          <w:rPr>
            <w:rFonts w:ascii="仿宋" w:eastAsia="仿宋" w:hAnsi="仿宋" w:cs="仿宋" w:hint="eastAsia"/>
            <w:sz w:val="32"/>
            <w:szCs w:val="32"/>
          </w:rPr>
          <w:fldChar w:fldCharType="end"/>
        </w:r>
      </w:hyperlink>
    </w:p>
    <w:p w14:paraId="2D399CC6"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19" w:history="1">
        <w:r w:rsidRPr="00BE7BB7">
          <w:rPr>
            <w:rFonts w:ascii="仿宋" w:eastAsia="仿宋" w:hAnsi="仿宋" w:cs="仿宋" w:hint="eastAsia"/>
            <w:kern w:val="44"/>
            <w:sz w:val="32"/>
            <w:szCs w:val="32"/>
          </w:rPr>
          <w:t>第七章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提前终止</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_Toc205973719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26</w:t>
        </w:r>
        <w:r w:rsidR="00D25E16" w:rsidRPr="00BE7BB7">
          <w:rPr>
            <w:rFonts w:ascii="仿宋" w:eastAsia="仿宋" w:hAnsi="仿宋" w:cs="仿宋" w:hint="eastAsia"/>
            <w:sz w:val="32"/>
            <w:szCs w:val="32"/>
          </w:rPr>
          <w:fldChar w:fldCharType="end"/>
        </w:r>
      </w:hyperlink>
    </w:p>
    <w:p w14:paraId="1640282E"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20" w:history="1">
        <w:r w:rsidRPr="00BE7BB7">
          <w:rPr>
            <w:rFonts w:ascii="仿宋" w:eastAsia="仿宋" w:hAnsi="仿宋" w:cs="仿宋" w:hint="eastAsia"/>
            <w:kern w:val="44"/>
            <w:sz w:val="32"/>
            <w:szCs w:val="32"/>
          </w:rPr>
          <w:t>第八章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信用事件的类型及定义</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_Toc205973720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26</w:t>
        </w:r>
        <w:r w:rsidR="00D25E16" w:rsidRPr="00BE7BB7">
          <w:rPr>
            <w:rFonts w:ascii="仿宋" w:eastAsia="仿宋" w:hAnsi="仿宋" w:cs="仿宋" w:hint="eastAsia"/>
            <w:sz w:val="32"/>
            <w:szCs w:val="32"/>
          </w:rPr>
          <w:fldChar w:fldCharType="end"/>
        </w:r>
      </w:hyperlink>
    </w:p>
    <w:p w14:paraId="365234CB"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21" w:history="1">
        <w:r w:rsidRPr="00BE7BB7">
          <w:rPr>
            <w:rFonts w:ascii="仿宋" w:eastAsia="仿宋" w:hAnsi="仿宋" w:cs="仿宋" w:hint="eastAsia"/>
            <w:kern w:val="44"/>
            <w:sz w:val="32"/>
            <w:szCs w:val="32"/>
          </w:rPr>
          <w:t>第九章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结算安排</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_Toc205973721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27</w:t>
        </w:r>
        <w:r w:rsidR="00D25E16" w:rsidRPr="00BE7BB7">
          <w:rPr>
            <w:rFonts w:ascii="仿宋" w:eastAsia="仿宋" w:hAnsi="仿宋" w:cs="仿宋" w:hint="eastAsia"/>
            <w:sz w:val="32"/>
            <w:szCs w:val="32"/>
          </w:rPr>
          <w:fldChar w:fldCharType="end"/>
        </w:r>
      </w:hyperlink>
    </w:p>
    <w:p w14:paraId="0AC01F8C"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22" w:history="1">
        <w:r w:rsidRPr="00BE7BB7">
          <w:rPr>
            <w:rFonts w:ascii="仿宋" w:eastAsia="仿宋" w:hAnsi="仿宋" w:cs="仿宋" w:hint="eastAsia"/>
            <w:sz w:val="32"/>
            <w:szCs w:val="32"/>
          </w:rPr>
          <w:t>一、结算条件</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_Toc205973722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27</w:t>
        </w:r>
        <w:r w:rsidR="00D25E16" w:rsidRPr="00BE7BB7">
          <w:rPr>
            <w:rFonts w:ascii="仿宋" w:eastAsia="仿宋" w:hAnsi="仿宋" w:cs="仿宋" w:hint="eastAsia"/>
            <w:sz w:val="32"/>
            <w:szCs w:val="32"/>
          </w:rPr>
          <w:fldChar w:fldCharType="end"/>
        </w:r>
      </w:hyperlink>
    </w:p>
    <w:p w14:paraId="0787027F"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23" w:history="1">
        <w:r w:rsidRPr="00BE7BB7">
          <w:rPr>
            <w:rFonts w:ascii="仿宋" w:eastAsia="仿宋" w:hAnsi="仿宋" w:cs="仿宋" w:hint="eastAsia"/>
            <w:sz w:val="32"/>
            <w:szCs w:val="32"/>
          </w:rPr>
          <w:t>二、结算方式</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_Toc205973723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28</w:t>
        </w:r>
        <w:r w:rsidR="00D25E16" w:rsidRPr="00BE7BB7">
          <w:rPr>
            <w:rFonts w:ascii="仿宋" w:eastAsia="仿宋" w:hAnsi="仿宋" w:cs="仿宋" w:hint="eastAsia"/>
            <w:sz w:val="32"/>
            <w:szCs w:val="32"/>
          </w:rPr>
          <w:fldChar w:fldCharType="end"/>
        </w:r>
      </w:hyperlink>
    </w:p>
    <w:p w14:paraId="6177844C"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24" w:history="1">
        <w:r w:rsidRPr="00BE7BB7">
          <w:rPr>
            <w:rFonts w:ascii="仿宋" w:eastAsia="仿宋" w:hAnsi="仿宋" w:cs="仿宋" w:hint="eastAsia"/>
            <w:sz w:val="32"/>
            <w:szCs w:val="32"/>
          </w:rPr>
          <w:t>三、发生信用事件后的结算安排</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_Toc205973724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28</w:t>
        </w:r>
        <w:r w:rsidR="00D25E16" w:rsidRPr="00BE7BB7">
          <w:rPr>
            <w:rFonts w:ascii="仿宋" w:eastAsia="仿宋" w:hAnsi="仿宋" w:cs="仿宋" w:hint="eastAsia"/>
            <w:sz w:val="32"/>
            <w:szCs w:val="32"/>
          </w:rPr>
          <w:fldChar w:fldCharType="end"/>
        </w:r>
      </w:hyperlink>
    </w:p>
    <w:p w14:paraId="411B405C" w14:textId="77777777" w:rsidR="00D25E16" w:rsidRPr="00BE7BB7" w:rsidRDefault="00D74D86">
      <w:pPr>
        <w:tabs>
          <w:tab w:val="left" w:pos="750"/>
          <w:tab w:val="left" w:pos="960"/>
          <w:tab w:val="left" w:pos="1320"/>
          <w:tab w:val="right" w:leader="dot" w:pos="8296"/>
        </w:tabs>
        <w:spacing w:line="560" w:lineRule="exact"/>
        <w:rPr>
          <w:rFonts w:ascii="仿宋" w:eastAsia="仿宋" w:hAnsi="仿宋" w:cs="仿宋" w:hint="eastAsia"/>
          <w:sz w:val="32"/>
          <w:szCs w:val="32"/>
        </w:rPr>
      </w:pPr>
      <w:hyperlink w:anchor="_Toc205973725" w:history="1">
        <w:r w:rsidRPr="00BE7BB7">
          <w:rPr>
            <w:rFonts w:ascii="仿宋" w:eastAsia="仿宋" w:hAnsi="仿宋" w:cs="仿宋" w:hint="eastAsia"/>
            <w:kern w:val="44"/>
            <w:sz w:val="32"/>
            <w:szCs w:val="32"/>
          </w:rPr>
          <w:t>第十章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通知方式和生效</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_Toc205973725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30</w:t>
        </w:r>
        <w:r w:rsidR="00D25E16" w:rsidRPr="00BE7BB7">
          <w:rPr>
            <w:rFonts w:ascii="仿宋" w:eastAsia="仿宋" w:hAnsi="仿宋" w:cs="仿宋" w:hint="eastAsia"/>
            <w:sz w:val="32"/>
            <w:szCs w:val="32"/>
          </w:rPr>
          <w:fldChar w:fldCharType="end"/>
        </w:r>
      </w:hyperlink>
    </w:p>
    <w:p w14:paraId="4D80E0B6" w14:textId="77777777" w:rsidR="00D25E16" w:rsidRPr="00BE7BB7" w:rsidRDefault="00D74D86">
      <w:pPr>
        <w:tabs>
          <w:tab w:val="left" w:pos="750"/>
          <w:tab w:val="left" w:pos="960"/>
          <w:tab w:val="left" w:pos="1540"/>
          <w:tab w:val="right" w:leader="dot" w:pos="8296"/>
        </w:tabs>
        <w:spacing w:line="560" w:lineRule="exact"/>
        <w:rPr>
          <w:rFonts w:ascii="仿宋" w:eastAsia="仿宋" w:hAnsi="仿宋" w:cs="仿宋" w:hint="eastAsia"/>
          <w:sz w:val="32"/>
          <w:szCs w:val="32"/>
        </w:rPr>
      </w:pPr>
      <w:hyperlink w:anchor="_Toc205973726" w:history="1">
        <w:r w:rsidRPr="00BE7BB7">
          <w:rPr>
            <w:rFonts w:ascii="仿宋" w:eastAsia="仿宋" w:hAnsi="仿宋" w:cs="仿宋" w:hint="eastAsia"/>
            <w:kern w:val="44"/>
            <w:sz w:val="32"/>
            <w:szCs w:val="32"/>
          </w:rPr>
          <w:t>第十一章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税收</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30</w:t>
        </w:r>
        <w:r w:rsidR="00D25E16" w:rsidRPr="00BE7BB7">
          <w:rPr>
            <w:rFonts w:ascii="仿宋" w:eastAsia="仿宋" w:hAnsi="仿宋" w:cs="仿宋" w:hint="eastAsia"/>
            <w:sz w:val="32"/>
            <w:szCs w:val="32"/>
          </w:rPr>
          <w:fldChar w:fldCharType="end"/>
        </w:r>
      </w:hyperlink>
    </w:p>
    <w:p w14:paraId="64399768" w14:textId="77777777" w:rsidR="00D25E16" w:rsidRPr="00BE7BB7" w:rsidRDefault="00D74D86">
      <w:pPr>
        <w:tabs>
          <w:tab w:val="left" w:pos="750"/>
          <w:tab w:val="left" w:pos="960"/>
          <w:tab w:val="left" w:pos="1540"/>
          <w:tab w:val="right" w:leader="dot" w:pos="8296"/>
        </w:tabs>
        <w:spacing w:line="560" w:lineRule="exact"/>
        <w:rPr>
          <w:rFonts w:ascii="仿宋" w:eastAsia="仿宋" w:hAnsi="仿宋" w:cs="仿宋" w:hint="eastAsia"/>
          <w:sz w:val="32"/>
          <w:szCs w:val="32"/>
        </w:rPr>
      </w:pPr>
      <w:hyperlink w:anchor="_Toc205973727" w:history="1">
        <w:r w:rsidRPr="00BE7BB7">
          <w:rPr>
            <w:rFonts w:ascii="仿宋" w:eastAsia="仿宋" w:hAnsi="仿宋" w:cs="仿宋" w:hint="eastAsia"/>
            <w:kern w:val="44"/>
            <w:sz w:val="32"/>
            <w:szCs w:val="32"/>
          </w:rPr>
          <w:t>第十二章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凭证持有人会议</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30</w:t>
        </w:r>
        <w:r w:rsidR="00D25E16" w:rsidRPr="00BE7BB7">
          <w:rPr>
            <w:rFonts w:ascii="仿宋" w:eastAsia="仿宋" w:hAnsi="仿宋" w:cs="仿宋" w:hint="eastAsia"/>
            <w:sz w:val="32"/>
            <w:szCs w:val="32"/>
          </w:rPr>
          <w:fldChar w:fldCharType="end"/>
        </w:r>
      </w:hyperlink>
    </w:p>
    <w:p w14:paraId="10726333"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28" w:history="1">
        <w:r w:rsidRPr="00BE7BB7">
          <w:rPr>
            <w:rFonts w:ascii="仿宋" w:eastAsia="仿宋" w:hAnsi="仿宋" w:cs="仿宋" w:hint="eastAsia"/>
            <w:sz w:val="32"/>
            <w:szCs w:val="32"/>
          </w:rPr>
          <w:t>一、召开情形</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_Toc205973728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30</w:t>
        </w:r>
        <w:r w:rsidR="00D25E16" w:rsidRPr="00BE7BB7">
          <w:rPr>
            <w:rFonts w:ascii="仿宋" w:eastAsia="仿宋" w:hAnsi="仿宋" w:cs="仿宋" w:hint="eastAsia"/>
            <w:sz w:val="32"/>
            <w:szCs w:val="32"/>
          </w:rPr>
          <w:fldChar w:fldCharType="end"/>
        </w:r>
      </w:hyperlink>
    </w:p>
    <w:p w14:paraId="0F545D05"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29" w:history="1">
        <w:r w:rsidRPr="00BE7BB7">
          <w:rPr>
            <w:rFonts w:ascii="仿宋" w:eastAsia="仿宋" w:hAnsi="仿宋" w:cs="仿宋" w:hint="eastAsia"/>
            <w:sz w:val="32"/>
            <w:szCs w:val="32"/>
          </w:rPr>
          <w:t>二、会议召集</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_Toc205973729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31</w:t>
        </w:r>
        <w:r w:rsidR="00D25E16" w:rsidRPr="00BE7BB7">
          <w:rPr>
            <w:rFonts w:ascii="仿宋" w:eastAsia="仿宋" w:hAnsi="仿宋" w:cs="仿宋" w:hint="eastAsia"/>
            <w:sz w:val="32"/>
            <w:szCs w:val="32"/>
          </w:rPr>
          <w:fldChar w:fldCharType="end"/>
        </w:r>
      </w:hyperlink>
    </w:p>
    <w:p w14:paraId="328132DA"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0" w:history="1">
        <w:r w:rsidRPr="00BE7BB7">
          <w:rPr>
            <w:rFonts w:ascii="仿宋" w:eastAsia="仿宋" w:hAnsi="仿宋" w:cs="仿宋" w:hint="eastAsia"/>
            <w:sz w:val="32"/>
            <w:szCs w:val="32"/>
          </w:rPr>
          <w:t>三、凭证持有人会议相关要求</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_Toc205973730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33</w:t>
        </w:r>
        <w:r w:rsidR="00D25E16" w:rsidRPr="00BE7BB7">
          <w:rPr>
            <w:rFonts w:ascii="仿宋" w:eastAsia="仿宋" w:hAnsi="仿宋" w:cs="仿宋" w:hint="eastAsia"/>
            <w:sz w:val="32"/>
            <w:szCs w:val="32"/>
          </w:rPr>
          <w:fldChar w:fldCharType="end"/>
        </w:r>
      </w:hyperlink>
    </w:p>
    <w:p w14:paraId="2188AB37"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1" w:history="1">
        <w:r w:rsidRPr="00BE7BB7">
          <w:rPr>
            <w:rFonts w:ascii="仿宋" w:eastAsia="仿宋" w:hAnsi="仿宋" w:cs="仿宋" w:hint="eastAsia"/>
            <w:sz w:val="32"/>
            <w:szCs w:val="32"/>
          </w:rPr>
          <w:t>四、持有人会议决议导致凭证的终止</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_Toc205973731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36</w:t>
        </w:r>
        <w:r w:rsidR="00D25E16" w:rsidRPr="00BE7BB7">
          <w:rPr>
            <w:rFonts w:ascii="仿宋" w:eastAsia="仿宋" w:hAnsi="仿宋" w:cs="仿宋" w:hint="eastAsia"/>
            <w:sz w:val="32"/>
            <w:szCs w:val="32"/>
          </w:rPr>
          <w:fldChar w:fldCharType="end"/>
        </w:r>
      </w:hyperlink>
    </w:p>
    <w:p w14:paraId="131D248A" w14:textId="77777777" w:rsidR="00D25E16" w:rsidRPr="00BE7BB7" w:rsidRDefault="00D74D86">
      <w:pPr>
        <w:tabs>
          <w:tab w:val="left" w:pos="750"/>
          <w:tab w:val="left" w:pos="960"/>
          <w:tab w:val="left" w:pos="1540"/>
          <w:tab w:val="right" w:leader="dot" w:pos="8296"/>
        </w:tabs>
        <w:spacing w:line="560" w:lineRule="exact"/>
        <w:rPr>
          <w:rFonts w:ascii="仿宋" w:eastAsia="仿宋" w:hAnsi="仿宋" w:cs="仿宋" w:hint="eastAsia"/>
          <w:sz w:val="32"/>
          <w:szCs w:val="32"/>
        </w:rPr>
      </w:pPr>
      <w:hyperlink w:anchor="_Toc205973732" w:history="1">
        <w:r w:rsidRPr="00BE7BB7">
          <w:rPr>
            <w:rFonts w:ascii="仿宋" w:eastAsia="仿宋" w:hAnsi="仿宋" w:cs="仿宋" w:hint="eastAsia"/>
            <w:kern w:val="44"/>
            <w:sz w:val="32"/>
            <w:szCs w:val="32"/>
          </w:rPr>
          <w:t>第十三章</w:t>
        </w:r>
        <w:r w:rsidRPr="00BE7BB7">
          <w:rPr>
            <w:rFonts w:ascii="仿宋" w:eastAsia="仿宋" w:hAnsi="仿宋" w:cs="仿宋" w:hint="eastAsia"/>
            <w:sz w:val="32"/>
            <w:szCs w:val="32"/>
          </w:rPr>
          <w:tab/>
        </w:r>
        <w:r w:rsidRPr="00BE7BB7">
          <w:rPr>
            <w:rFonts w:ascii="仿宋" w:eastAsia="仿宋" w:hAnsi="仿宋" w:cs="仿宋" w:hint="eastAsia"/>
            <w:kern w:val="44"/>
            <w:sz w:val="32"/>
            <w:szCs w:val="32"/>
          </w:rPr>
          <w:t>争议的解决</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_Toc205973732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37</w:t>
        </w:r>
        <w:r w:rsidR="00D25E16" w:rsidRPr="00BE7BB7">
          <w:rPr>
            <w:rFonts w:ascii="仿宋" w:eastAsia="仿宋" w:hAnsi="仿宋" w:cs="仿宋" w:hint="eastAsia"/>
            <w:sz w:val="32"/>
            <w:szCs w:val="32"/>
          </w:rPr>
          <w:fldChar w:fldCharType="end"/>
        </w:r>
      </w:hyperlink>
    </w:p>
    <w:p w14:paraId="600F8784"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3" w:history="1">
        <w:r w:rsidRPr="00BE7BB7">
          <w:rPr>
            <w:rFonts w:ascii="仿宋" w:eastAsia="仿宋" w:hAnsi="仿宋" w:cs="仿宋" w:hint="eastAsia"/>
            <w:sz w:val="32"/>
            <w:szCs w:val="32"/>
          </w:rPr>
          <w:t>一、适用法律</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_Toc205973733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37</w:t>
        </w:r>
        <w:r w:rsidR="00D25E16" w:rsidRPr="00BE7BB7">
          <w:rPr>
            <w:rFonts w:ascii="仿宋" w:eastAsia="仿宋" w:hAnsi="仿宋" w:cs="仿宋" w:hint="eastAsia"/>
            <w:sz w:val="32"/>
            <w:szCs w:val="32"/>
          </w:rPr>
          <w:fldChar w:fldCharType="end"/>
        </w:r>
      </w:hyperlink>
    </w:p>
    <w:p w14:paraId="4ECEB46F"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4" w:history="1">
        <w:r w:rsidRPr="00BE7BB7">
          <w:rPr>
            <w:rFonts w:ascii="仿宋" w:eastAsia="仿宋" w:hAnsi="仿宋" w:cs="仿宋" w:hint="eastAsia"/>
            <w:sz w:val="32"/>
            <w:szCs w:val="32"/>
          </w:rPr>
          <w:t>二、争议的解决方式</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_Toc205973734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37</w:t>
        </w:r>
        <w:r w:rsidR="00D25E16" w:rsidRPr="00BE7BB7">
          <w:rPr>
            <w:rFonts w:ascii="仿宋" w:eastAsia="仿宋" w:hAnsi="仿宋" w:cs="仿宋" w:hint="eastAsia"/>
            <w:sz w:val="32"/>
            <w:szCs w:val="32"/>
          </w:rPr>
          <w:fldChar w:fldCharType="end"/>
        </w:r>
      </w:hyperlink>
    </w:p>
    <w:p w14:paraId="6AECEC39"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5" w:history="1">
        <w:r w:rsidRPr="00BE7BB7">
          <w:rPr>
            <w:rFonts w:ascii="仿宋" w:eastAsia="仿宋" w:hAnsi="仿宋" w:cs="仿宋" w:hint="eastAsia"/>
            <w:sz w:val="32"/>
            <w:szCs w:val="32"/>
          </w:rPr>
          <w:t>三、弃权</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_Toc205973735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38</w:t>
        </w:r>
        <w:r w:rsidR="00D25E16" w:rsidRPr="00BE7BB7">
          <w:rPr>
            <w:rFonts w:ascii="仿宋" w:eastAsia="仿宋" w:hAnsi="仿宋" w:cs="仿宋" w:hint="eastAsia"/>
            <w:sz w:val="32"/>
            <w:szCs w:val="32"/>
          </w:rPr>
          <w:fldChar w:fldCharType="end"/>
        </w:r>
      </w:hyperlink>
    </w:p>
    <w:p w14:paraId="1E2F481C" w14:textId="77777777" w:rsidR="00D25E16" w:rsidRPr="00BE7BB7" w:rsidRDefault="00D74D86">
      <w:pPr>
        <w:tabs>
          <w:tab w:val="left" w:pos="750"/>
          <w:tab w:val="left" w:pos="960"/>
          <w:tab w:val="left" w:pos="1540"/>
          <w:tab w:val="right" w:leader="dot" w:pos="8296"/>
        </w:tabs>
        <w:spacing w:line="560" w:lineRule="exact"/>
        <w:rPr>
          <w:rFonts w:ascii="仿宋" w:eastAsia="仿宋" w:hAnsi="仿宋" w:cs="仿宋" w:hint="eastAsia"/>
          <w:sz w:val="32"/>
          <w:szCs w:val="32"/>
        </w:rPr>
      </w:pPr>
      <w:hyperlink w:anchor="_Toc205973736" w:history="1">
        <w:r w:rsidRPr="00BE7BB7">
          <w:rPr>
            <w:rFonts w:ascii="仿宋" w:eastAsia="仿宋" w:hAnsi="仿宋" w:cs="仿宋" w:hint="eastAsia"/>
            <w:sz w:val="32"/>
            <w:szCs w:val="32"/>
          </w:rPr>
          <w:t>第十四章</w:t>
        </w:r>
        <w:r w:rsidRPr="00BE7BB7">
          <w:rPr>
            <w:rFonts w:ascii="仿宋" w:eastAsia="仿宋" w:hAnsi="仿宋" w:cs="仿宋" w:hint="eastAsia"/>
            <w:sz w:val="32"/>
            <w:szCs w:val="32"/>
          </w:rPr>
          <w:tab/>
          <w:t>备查文件</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38</w:t>
        </w:r>
        <w:r w:rsidR="00D25E16" w:rsidRPr="00BE7BB7">
          <w:rPr>
            <w:rFonts w:ascii="仿宋" w:eastAsia="仿宋" w:hAnsi="仿宋" w:cs="仿宋" w:hint="eastAsia"/>
            <w:sz w:val="32"/>
            <w:szCs w:val="32"/>
          </w:rPr>
          <w:fldChar w:fldCharType="end"/>
        </w:r>
      </w:hyperlink>
    </w:p>
    <w:p w14:paraId="16EE2853"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7" w:history="1">
        <w:r w:rsidRPr="00BE7BB7">
          <w:rPr>
            <w:rFonts w:ascii="仿宋" w:eastAsia="仿宋" w:hAnsi="仿宋" w:cs="仿宋" w:hint="eastAsia"/>
            <w:sz w:val="32"/>
            <w:szCs w:val="32"/>
          </w:rPr>
          <w:t>一、备查文件清单</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38</w:t>
        </w:r>
        <w:r w:rsidR="00D25E16" w:rsidRPr="00BE7BB7">
          <w:rPr>
            <w:rFonts w:ascii="仿宋" w:eastAsia="仿宋" w:hAnsi="仿宋" w:cs="仿宋" w:hint="eastAsia"/>
            <w:sz w:val="32"/>
            <w:szCs w:val="32"/>
          </w:rPr>
          <w:fldChar w:fldCharType="end"/>
        </w:r>
      </w:hyperlink>
    </w:p>
    <w:p w14:paraId="498DBCF0" w14:textId="77777777" w:rsidR="00D25E16" w:rsidRPr="00BE7BB7" w:rsidRDefault="00D74D86">
      <w:pPr>
        <w:tabs>
          <w:tab w:val="right" w:leader="dot" w:pos="8296"/>
        </w:tabs>
        <w:spacing w:line="560" w:lineRule="exact"/>
        <w:ind w:leftChars="140" w:left="294"/>
        <w:rPr>
          <w:rFonts w:ascii="仿宋" w:eastAsia="仿宋" w:hAnsi="仿宋" w:cs="仿宋" w:hint="eastAsia"/>
          <w:sz w:val="32"/>
          <w:szCs w:val="32"/>
        </w:rPr>
      </w:pPr>
      <w:hyperlink w:anchor="_Toc205973738" w:history="1">
        <w:r w:rsidRPr="00BE7BB7">
          <w:rPr>
            <w:rFonts w:ascii="仿宋" w:eastAsia="仿宋" w:hAnsi="仿宋" w:cs="仿宋" w:hint="eastAsia"/>
            <w:sz w:val="32"/>
            <w:szCs w:val="32"/>
          </w:rPr>
          <w:t>二、查询地址</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_Toc205973738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39</w:t>
        </w:r>
        <w:r w:rsidR="00D25E16" w:rsidRPr="00BE7BB7">
          <w:rPr>
            <w:rFonts w:ascii="仿宋" w:eastAsia="仿宋" w:hAnsi="仿宋" w:cs="仿宋" w:hint="eastAsia"/>
            <w:sz w:val="32"/>
            <w:szCs w:val="32"/>
          </w:rPr>
          <w:fldChar w:fldCharType="end"/>
        </w:r>
      </w:hyperlink>
    </w:p>
    <w:p w14:paraId="5D961349"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39" w:history="1">
        <w:r w:rsidRPr="00BE7BB7">
          <w:rPr>
            <w:rFonts w:ascii="仿宋" w:eastAsia="仿宋" w:hAnsi="仿宋" w:cs="仿宋" w:hint="eastAsia"/>
            <w:kern w:val="0"/>
            <w:sz w:val="32"/>
            <w:szCs w:val="32"/>
          </w:rPr>
          <w:t>【本期凭证全称】申购要约</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_Toc205973739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41</w:t>
        </w:r>
        <w:r w:rsidR="00D25E16" w:rsidRPr="00BE7BB7">
          <w:rPr>
            <w:rFonts w:ascii="仿宋" w:eastAsia="仿宋" w:hAnsi="仿宋" w:cs="仿宋" w:hint="eastAsia"/>
            <w:sz w:val="32"/>
            <w:szCs w:val="32"/>
          </w:rPr>
          <w:fldChar w:fldCharType="end"/>
        </w:r>
      </w:hyperlink>
    </w:p>
    <w:p w14:paraId="616EB807"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0" w:history="1">
        <w:r w:rsidRPr="00BE7BB7">
          <w:rPr>
            <w:rFonts w:ascii="仿宋" w:eastAsia="仿宋" w:hAnsi="仿宋" w:cs="仿宋" w:hint="eastAsia"/>
            <w:kern w:val="0"/>
            <w:sz w:val="32"/>
            <w:szCs w:val="32"/>
          </w:rPr>
          <w:t>【本期凭证全称】配售结果通知</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_Toc205973740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42</w:t>
        </w:r>
        <w:r w:rsidR="00D25E16" w:rsidRPr="00BE7BB7">
          <w:rPr>
            <w:rFonts w:ascii="仿宋" w:eastAsia="仿宋" w:hAnsi="仿宋" w:cs="仿宋" w:hint="eastAsia"/>
            <w:sz w:val="32"/>
            <w:szCs w:val="32"/>
          </w:rPr>
          <w:fldChar w:fldCharType="end"/>
        </w:r>
      </w:hyperlink>
    </w:p>
    <w:p w14:paraId="6F96BC95"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1" w:history="1">
        <w:r w:rsidRPr="00BE7BB7">
          <w:rPr>
            <w:rFonts w:ascii="仿宋" w:eastAsia="仿宋" w:hAnsi="仿宋" w:cs="仿宋" w:hint="eastAsia"/>
            <w:kern w:val="0"/>
            <w:sz w:val="32"/>
            <w:szCs w:val="32"/>
          </w:rPr>
          <w:t>【本期凭证全称】预配售情况公告</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_Toc205973741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43</w:t>
        </w:r>
        <w:r w:rsidR="00D25E16" w:rsidRPr="00BE7BB7">
          <w:rPr>
            <w:rFonts w:ascii="仿宋" w:eastAsia="仿宋" w:hAnsi="仿宋" w:cs="仿宋" w:hint="eastAsia"/>
            <w:sz w:val="32"/>
            <w:szCs w:val="32"/>
          </w:rPr>
          <w:fldChar w:fldCharType="end"/>
        </w:r>
      </w:hyperlink>
    </w:p>
    <w:p w14:paraId="04CD8A62"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2" w:history="1">
        <w:r w:rsidRPr="00BE7BB7">
          <w:rPr>
            <w:rFonts w:ascii="仿宋" w:eastAsia="仿宋" w:hAnsi="仿宋" w:cs="仿宋" w:hint="eastAsia"/>
            <w:kern w:val="0"/>
            <w:sz w:val="32"/>
            <w:szCs w:val="32"/>
          </w:rPr>
          <w:t>【本期凭证全称】配售确认及信用保护费支付通知</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_Toc205973742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44</w:t>
        </w:r>
        <w:r w:rsidR="00D25E16" w:rsidRPr="00BE7BB7">
          <w:rPr>
            <w:rFonts w:ascii="仿宋" w:eastAsia="仿宋" w:hAnsi="仿宋" w:cs="仿宋" w:hint="eastAsia"/>
            <w:sz w:val="32"/>
            <w:szCs w:val="32"/>
          </w:rPr>
          <w:fldChar w:fldCharType="end"/>
        </w:r>
      </w:hyperlink>
    </w:p>
    <w:p w14:paraId="5C427497"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3" w:history="1">
        <w:r w:rsidRPr="00BE7BB7">
          <w:rPr>
            <w:rFonts w:ascii="仿宋" w:eastAsia="仿宋" w:hAnsi="仿宋" w:cs="仿宋" w:hint="eastAsia"/>
            <w:kern w:val="0"/>
            <w:sz w:val="32"/>
            <w:szCs w:val="32"/>
          </w:rPr>
          <w:t>【本期凭证全称】创设情况公告</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_Toc205973743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45</w:t>
        </w:r>
        <w:r w:rsidR="00D25E16" w:rsidRPr="00BE7BB7">
          <w:rPr>
            <w:rFonts w:ascii="仿宋" w:eastAsia="仿宋" w:hAnsi="仿宋" w:cs="仿宋" w:hint="eastAsia"/>
            <w:sz w:val="32"/>
            <w:szCs w:val="32"/>
          </w:rPr>
          <w:fldChar w:fldCharType="end"/>
        </w:r>
      </w:hyperlink>
    </w:p>
    <w:p w14:paraId="7C7FBE63"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4" w:history="1">
        <w:r w:rsidRPr="00BE7BB7">
          <w:rPr>
            <w:rFonts w:ascii="仿宋" w:eastAsia="仿宋" w:hAnsi="仿宋" w:cs="仿宋" w:hint="eastAsia"/>
            <w:kern w:val="0"/>
            <w:sz w:val="32"/>
            <w:szCs w:val="32"/>
          </w:rPr>
          <w:t>【本期凭证全称】信息披露文件变更说明</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_Toc205973744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46</w:t>
        </w:r>
        <w:r w:rsidR="00D25E16" w:rsidRPr="00BE7BB7">
          <w:rPr>
            <w:rFonts w:ascii="仿宋" w:eastAsia="仿宋" w:hAnsi="仿宋" w:cs="仿宋" w:hint="eastAsia"/>
            <w:sz w:val="32"/>
            <w:szCs w:val="32"/>
          </w:rPr>
          <w:fldChar w:fldCharType="end"/>
        </w:r>
      </w:hyperlink>
    </w:p>
    <w:p w14:paraId="4BB7CDA1"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5" w:history="1">
        <w:r w:rsidRPr="00BE7BB7">
          <w:rPr>
            <w:rFonts w:ascii="仿宋" w:eastAsia="仿宋" w:hAnsi="仿宋" w:cs="仿宋" w:hint="eastAsia"/>
            <w:kern w:val="0"/>
            <w:sz w:val="32"/>
            <w:szCs w:val="32"/>
          </w:rPr>
          <w:t>【创设机构全称】重大事项公告</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_Toc205973745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47</w:t>
        </w:r>
        <w:r w:rsidR="00D25E16" w:rsidRPr="00BE7BB7">
          <w:rPr>
            <w:rFonts w:ascii="仿宋" w:eastAsia="仿宋" w:hAnsi="仿宋" w:cs="仿宋" w:hint="eastAsia"/>
            <w:sz w:val="32"/>
            <w:szCs w:val="32"/>
          </w:rPr>
          <w:fldChar w:fldCharType="end"/>
        </w:r>
      </w:hyperlink>
    </w:p>
    <w:p w14:paraId="65588875"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6" w:history="1">
        <w:r w:rsidRPr="00BE7BB7">
          <w:rPr>
            <w:rFonts w:ascii="仿宋" w:eastAsia="仿宋" w:hAnsi="仿宋" w:cs="仿宋" w:hint="eastAsia"/>
            <w:kern w:val="0"/>
            <w:sz w:val="32"/>
            <w:szCs w:val="32"/>
          </w:rPr>
          <w:t>【本期凭证全称】提前注销情况公告</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_Toc205973746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48</w:t>
        </w:r>
        <w:r w:rsidR="00D25E16" w:rsidRPr="00BE7BB7">
          <w:rPr>
            <w:rFonts w:ascii="仿宋" w:eastAsia="仿宋" w:hAnsi="仿宋" w:cs="仿宋" w:hint="eastAsia"/>
            <w:sz w:val="32"/>
            <w:szCs w:val="32"/>
          </w:rPr>
          <w:fldChar w:fldCharType="end"/>
        </w:r>
      </w:hyperlink>
    </w:p>
    <w:p w14:paraId="1077CAB9" w14:textId="77777777" w:rsidR="00D25E16" w:rsidRPr="00BE7BB7" w:rsidRDefault="00D74D86">
      <w:pPr>
        <w:tabs>
          <w:tab w:val="left" w:pos="750"/>
          <w:tab w:val="left" w:pos="960"/>
          <w:tab w:val="right" w:leader="dot" w:pos="8296"/>
        </w:tabs>
        <w:spacing w:line="560" w:lineRule="exact"/>
        <w:rPr>
          <w:rFonts w:ascii="仿宋" w:eastAsia="仿宋" w:hAnsi="仿宋" w:cs="仿宋" w:hint="eastAsia"/>
          <w:sz w:val="32"/>
          <w:szCs w:val="32"/>
        </w:rPr>
      </w:pPr>
      <w:hyperlink w:anchor="_Toc205973747" w:history="1">
        <w:r w:rsidRPr="00BE7BB7">
          <w:rPr>
            <w:rFonts w:ascii="仿宋" w:eastAsia="仿宋" w:hAnsi="仿宋" w:cs="仿宋" w:hint="eastAsia"/>
            <w:kern w:val="0"/>
            <w:sz w:val="32"/>
            <w:szCs w:val="32"/>
          </w:rPr>
          <w:t>【本期凭证全称】信用事件触发公告</w:t>
        </w:r>
        <w:r w:rsidRPr="00BE7BB7">
          <w:rPr>
            <w:rFonts w:ascii="仿宋" w:eastAsia="仿宋" w:hAnsi="仿宋" w:cs="仿宋" w:hint="eastAsia"/>
            <w:sz w:val="32"/>
            <w:szCs w:val="32"/>
          </w:rPr>
          <w:tab/>
        </w:r>
        <w:r w:rsidR="00D25E16" w:rsidRPr="00BE7BB7">
          <w:rPr>
            <w:rFonts w:ascii="仿宋" w:eastAsia="仿宋" w:hAnsi="仿宋" w:cs="仿宋" w:hint="eastAsia"/>
            <w:sz w:val="32"/>
            <w:szCs w:val="32"/>
          </w:rPr>
          <w:fldChar w:fldCharType="begin"/>
        </w:r>
        <w:r w:rsidRPr="00BE7BB7">
          <w:rPr>
            <w:rFonts w:ascii="仿宋" w:eastAsia="仿宋" w:hAnsi="仿宋" w:cs="仿宋" w:hint="eastAsia"/>
            <w:sz w:val="32"/>
            <w:szCs w:val="32"/>
          </w:rPr>
          <w:instrText xml:space="preserve"> PAGEREF _Toc205973747 \h </w:instrText>
        </w:r>
        <w:r w:rsidR="00D25E16" w:rsidRPr="00BE7BB7">
          <w:rPr>
            <w:rFonts w:ascii="仿宋" w:eastAsia="仿宋" w:hAnsi="仿宋" w:cs="仿宋" w:hint="eastAsia"/>
            <w:sz w:val="32"/>
            <w:szCs w:val="32"/>
          </w:rPr>
        </w:r>
        <w:r w:rsidR="00D25E16" w:rsidRPr="00BE7BB7">
          <w:rPr>
            <w:rFonts w:ascii="仿宋" w:eastAsia="仿宋" w:hAnsi="仿宋" w:cs="仿宋" w:hint="eastAsia"/>
            <w:sz w:val="32"/>
            <w:szCs w:val="32"/>
          </w:rPr>
          <w:fldChar w:fldCharType="separate"/>
        </w:r>
        <w:r w:rsidRPr="00BE7BB7">
          <w:rPr>
            <w:rFonts w:ascii="仿宋" w:eastAsia="仿宋" w:hAnsi="仿宋" w:cs="仿宋"/>
            <w:sz w:val="32"/>
            <w:szCs w:val="32"/>
          </w:rPr>
          <w:t>49</w:t>
        </w:r>
        <w:r w:rsidR="00D25E16" w:rsidRPr="00BE7BB7">
          <w:rPr>
            <w:rFonts w:ascii="仿宋" w:eastAsia="仿宋" w:hAnsi="仿宋" w:cs="仿宋" w:hint="eastAsia"/>
            <w:sz w:val="32"/>
            <w:szCs w:val="32"/>
          </w:rPr>
          <w:fldChar w:fldCharType="end"/>
        </w:r>
      </w:hyperlink>
    </w:p>
    <w:p w14:paraId="5EA8C2FE" w14:textId="77777777" w:rsidR="00D25E16" w:rsidRDefault="00D25E16">
      <w:pPr>
        <w:spacing w:line="560" w:lineRule="exact"/>
        <w:rPr>
          <w:rFonts w:ascii="仿宋" w:eastAsia="仿宋" w:hAnsi="仿宋" w:cs="仿宋" w:hint="eastAsia"/>
          <w:color w:val="000000"/>
          <w:sz w:val="30"/>
          <w:szCs w:val="30"/>
        </w:rPr>
      </w:pPr>
      <w:r w:rsidRPr="0064744F">
        <w:rPr>
          <w:rFonts w:ascii="仿宋" w:eastAsia="仿宋" w:hAnsi="仿宋" w:cs="仿宋" w:hint="eastAsia"/>
          <w:color w:val="000000"/>
          <w:sz w:val="32"/>
          <w:szCs w:val="32"/>
          <w:highlight w:val="yellow"/>
          <w:lang w:val="zh-CN"/>
        </w:rPr>
        <w:fldChar w:fldCharType="end"/>
      </w:r>
    </w:p>
    <w:p w14:paraId="0B4D756D" w14:textId="77777777" w:rsidR="00D25E16" w:rsidRDefault="00D25E16">
      <w:pPr>
        <w:spacing w:line="560" w:lineRule="exact"/>
        <w:rPr>
          <w:rFonts w:ascii="仿宋" w:eastAsia="仿宋" w:hAnsi="仿宋" w:cs="仿宋" w:hint="eastAsia"/>
          <w:color w:val="000000"/>
          <w:sz w:val="30"/>
          <w:szCs w:val="30"/>
          <w:lang w:val="zh-CN"/>
        </w:rPr>
        <w:sectPr w:rsidR="00D25E16">
          <w:pgSz w:w="11906" w:h="16838"/>
          <w:pgMar w:top="1440" w:right="1800" w:bottom="1440" w:left="1800" w:header="851" w:footer="992" w:gutter="0"/>
          <w:cols w:space="720"/>
          <w:docGrid w:type="lines" w:linePitch="312"/>
        </w:sectPr>
      </w:pPr>
    </w:p>
    <w:p w14:paraId="359E8055"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19" w:name="_Toc69077733"/>
      <w:bookmarkStart w:id="20" w:name="_Toc205973686"/>
      <w:bookmarkStart w:id="21" w:name="_Toc28540"/>
      <w:r>
        <w:rPr>
          <w:rFonts w:ascii="仿宋" w:eastAsia="仿宋" w:hAnsi="仿宋" w:cs="Times New Roman" w:hint="eastAsia"/>
          <w:b/>
          <w:bCs/>
          <w:color w:val="000000"/>
          <w:kern w:val="44"/>
          <w:sz w:val="32"/>
          <w:szCs w:val="32"/>
        </w:rPr>
        <w:lastRenderedPageBreak/>
        <w:t>释义</w:t>
      </w:r>
      <w:bookmarkEnd w:id="12"/>
      <w:bookmarkEnd w:id="13"/>
      <w:bookmarkEnd w:id="14"/>
      <w:bookmarkEnd w:id="15"/>
      <w:bookmarkEnd w:id="16"/>
      <w:bookmarkEnd w:id="17"/>
      <w:bookmarkEnd w:id="18"/>
      <w:bookmarkEnd w:id="19"/>
      <w:bookmarkEnd w:id="20"/>
      <w:bookmarkEnd w:id="21"/>
    </w:p>
    <w:p w14:paraId="1CAE1D64"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5EAA3701" w14:textId="77777777" w:rsidR="00D25E16" w:rsidRDefault="00D74D86" w:rsidP="0064744F">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除非文中另有所指，下列词语具有如下含义：</w:t>
      </w:r>
    </w:p>
    <w:p w14:paraId="430D0B9D"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交易商协会：指中国银行间市场交易商协会；</w:t>
      </w:r>
    </w:p>
    <w:p w14:paraId="66834F3D"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上海清算所：指银行间市场清算所股份有限公司；</w:t>
      </w:r>
    </w:p>
    <w:p w14:paraId="5683C2C2"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信用风险缓释凭证：指符合交易商协会发布的《信用风险缓释凭证业务指引》相关定义和要求的信用风险缓释凭证；</w:t>
      </w:r>
    </w:p>
    <w:p w14:paraId="17D36006"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本期凭证：指</w:t>
      </w:r>
      <w:r>
        <w:rPr>
          <w:rFonts w:ascii="仿宋" w:eastAsia="仿宋" w:hAnsi="仿宋" w:cs="Times New Roman" w:hint="eastAsia"/>
          <w:b/>
          <w:color w:val="000000"/>
          <w:sz w:val="32"/>
          <w:szCs w:val="32"/>
        </w:rPr>
        <w:t>【</w:t>
      </w:r>
      <w:r>
        <w:rPr>
          <w:rFonts w:ascii="仿宋" w:eastAsia="仿宋" w:hAnsi="仿宋" w:cs="Times New Roman" w:hint="eastAsia"/>
          <w:color w:val="000000"/>
          <w:sz w:val="32"/>
          <w:szCs w:val="32"/>
        </w:rPr>
        <w:t>本期凭证全称</w:t>
      </w:r>
      <w:r>
        <w:rPr>
          <w:rFonts w:ascii="仿宋" w:eastAsia="仿宋" w:hAnsi="仿宋" w:cs="Times New Roman" w:hint="eastAsia"/>
          <w:b/>
          <w:color w:val="000000"/>
          <w:sz w:val="32"/>
          <w:szCs w:val="32"/>
        </w:rPr>
        <w:t>】</w:t>
      </w:r>
      <w:r>
        <w:rPr>
          <w:rFonts w:ascii="仿宋" w:eastAsia="仿宋" w:hAnsi="仿宋" w:cs="Times New Roman" w:hint="eastAsia"/>
          <w:color w:val="000000"/>
          <w:sz w:val="32"/>
          <w:szCs w:val="32"/>
        </w:rPr>
        <w:t>，是交易双方共同签署的《中国银行间市场金融衍生产品交易主协议（凭证特别版）》项下交易；</w:t>
      </w:r>
    </w:p>
    <w:p w14:paraId="23178DF7"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本创设说明书：指</w:t>
      </w:r>
      <w:r>
        <w:rPr>
          <w:rFonts w:ascii="仿宋" w:eastAsia="仿宋" w:hAnsi="仿宋" w:cs="Times New Roman" w:hint="eastAsia"/>
          <w:b/>
          <w:color w:val="000000"/>
          <w:sz w:val="32"/>
          <w:szCs w:val="32"/>
        </w:rPr>
        <w:t>【</w:t>
      </w:r>
      <w:r>
        <w:rPr>
          <w:rFonts w:ascii="仿宋" w:eastAsia="仿宋" w:hAnsi="仿宋" w:cs="Times New Roman" w:hint="eastAsia"/>
          <w:color w:val="000000"/>
          <w:sz w:val="32"/>
          <w:szCs w:val="32"/>
        </w:rPr>
        <w:t>本期凭证全称</w:t>
      </w:r>
      <w:r>
        <w:rPr>
          <w:rFonts w:ascii="仿宋" w:eastAsia="仿宋" w:hAnsi="仿宋" w:cs="Times New Roman" w:hint="eastAsia"/>
          <w:b/>
          <w:color w:val="000000"/>
          <w:sz w:val="32"/>
          <w:szCs w:val="32"/>
        </w:rPr>
        <w:t>】</w:t>
      </w:r>
      <w:r>
        <w:rPr>
          <w:rFonts w:ascii="仿宋" w:eastAsia="仿宋" w:hAnsi="仿宋" w:cs="Times New Roman" w:hint="eastAsia"/>
          <w:color w:val="000000"/>
          <w:sz w:val="32"/>
          <w:szCs w:val="32"/>
        </w:rPr>
        <w:t>的创设说明书，是交易双方共同签署的《中国银行间市场金融衍生产品交易主协议（凭证特别版）》项下的交易有效约定；</w:t>
      </w:r>
    </w:p>
    <w:p w14:paraId="59ADF0A8"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创设机构：指</w:t>
      </w:r>
      <w:r>
        <w:rPr>
          <w:rFonts w:ascii="仿宋" w:eastAsia="仿宋" w:hAnsi="仿宋" w:cs="Times New Roman" w:hint="eastAsia"/>
          <w:b/>
          <w:color w:val="000000"/>
          <w:sz w:val="32"/>
          <w:szCs w:val="32"/>
        </w:rPr>
        <w:t>【</w:t>
      </w:r>
      <w:r>
        <w:rPr>
          <w:rFonts w:ascii="仿宋" w:eastAsia="仿宋" w:hAnsi="仿宋" w:cs="Times New Roman" w:hint="eastAsia"/>
          <w:color w:val="000000"/>
          <w:sz w:val="32"/>
          <w:szCs w:val="32"/>
        </w:rPr>
        <w:t>创设机构全称及简称】；</w:t>
      </w:r>
    </w:p>
    <w:p w14:paraId="00F63227"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凭证持有人/投资者：指符合银行间信用风险缓释工具业务参与者要求，认购并持有本期凭证的投资者或在二级市场购买并持有本期凭证的投资者；</w:t>
      </w:r>
    </w:p>
    <w:p w14:paraId="7FEEC2D4"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交易双方：指已签署《中国银行间市场金融衍生产品交易主协议（凭证特别版）》且受本创设说明书约束的本期凭证的创设机构和投资者；</w:t>
      </w:r>
    </w:p>
    <w:p w14:paraId="05B535DB"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凭证创设定价</w:t>
      </w:r>
      <w:r>
        <w:rPr>
          <w:rFonts w:ascii="仿宋" w:eastAsia="仿宋" w:hAnsi="仿宋" w:cs="Times New Roman" w:hint="eastAsia"/>
          <w:color w:val="000000"/>
          <w:sz w:val="32"/>
          <w:szCs w:val="32"/>
          <w:vertAlign w:val="superscript"/>
        </w:rPr>
        <w:footnoteReference w:id="5"/>
      </w:r>
      <w:r>
        <w:rPr>
          <w:rFonts w:ascii="仿宋" w:eastAsia="仿宋" w:hAnsi="仿宋" w:cs="Times New Roman" w:hint="eastAsia"/>
          <w:color w:val="000000"/>
          <w:sz w:val="32"/>
          <w:szCs w:val="32"/>
        </w:rPr>
        <w:t>：指由凭证创设机构按照【簿记建档流程】或【询价方式】为本期凭证定价及配售的程序；</w:t>
      </w:r>
    </w:p>
    <w:p w14:paraId="13DFD4B9"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登记托管机构：指本期凭证登记托管机构；</w:t>
      </w:r>
    </w:p>
    <w:p w14:paraId="0CF07F99" w14:textId="77777777" w:rsidR="00D25E16" w:rsidRDefault="00D74D8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lastRenderedPageBreak/>
        <w:t>营业日/工作日：指北京的商业银行对公业务正常营业时间（不包括国家规定的法定节假日）；</w:t>
      </w:r>
    </w:p>
    <w:p w14:paraId="015BC184" w14:textId="77777777" w:rsidR="00D25E16" w:rsidRDefault="00D25E1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元：如无特别说明，指人民币元；</w:t>
      </w:r>
    </w:p>
    <w:p w14:paraId="381B8985" w14:textId="77777777" w:rsidR="00D25E16" w:rsidRPr="00D25E16" w:rsidRDefault="00D25E1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本创设说明书中涉及信用衍生产品交易的术语含义适用《中国场外信用衍生产品交易基本术语与适用规则（</w:t>
      </w:r>
      <w:r>
        <w:rPr>
          <w:rFonts w:ascii="仿宋" w:eastAsia="仿宋" w:hAnsi="仿宋" w:cs="Times New Roman"/>
          <w:color w:val="000000"/>
          <w:sz w:val="32"/>
          <w:szCs w:val="32"/>
        </w:rPr>
        <w:t>2022年版）》</w:t>
      </w:r>
      <w:r>
        <w:rPr>
          <w:rFonts w:ascii="仿宋" w:eastAsia="仿宋" w:hAnsi="仿宋" w:cs="Times New Roman"/>
          <w:color w:val="000000"/>
          <w:sz w:val="32"/>
          <w:szCs w:val="32"/>
          <w:vertAlign w:val="superscript"/>
        </w:rPr>
        <w:footnoteReference w:id="6"/>
      </w:r>
      <w:r>
        <w:rPr>
          <w:rFonts w:ascii="仿宋" w:eastAsia="仿宋" w:hAnsi="仿宋" w:cs="Times New Roman" w:hint="eastAsia"/>
          <w:color w:val="000000"/>
          <w:sz w:val="32"/>
          <w:szCs w:val="32"/>
        </w:rPr>
        <w:t>，除非在本创设说明书中另有定义或修改；</w:t>
      </w:r>
    </w:p>
    <w:p w14:paraId="13777F5F" w14:textId="77777777" w:rsidR="00D25E16" w:rsidRPr="00D25E16" w:rsidRDefault="00D25E16" w:rsidP="0064744F">
      <w:pPr>
        <w:numPr>
          <w:ilvl w:val="0"/>
          <w:numId w:val="3"/>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《中国银行间市场金融衍生产品交易主协议（凭证特别版）》</w:t>
      </w:r>
      <w:r>
        <w:rPr>
          <w:rFonts w:ascii="仿宋" w:eastAsia="仿宋" w:hAnsi="仿宋" w:cs="Times New Roman"/>
          <w:color w:val="000000"/>
          <w:sz w:val="32"/>
          <w:szCs w:val="32"/>
          <w:vertAlign w:val="superscript"/>
        </w:rPr>
        <w:footnoteReference w:id="7"/>
      </w:r>
      <w:r>
        <w:rPr>
          <w:rFonts w:ascii="仿宋" w:eastAsia="仿宋" w:hAnsi="仿宋" w:cs="Times New Roman" w:hint="eastAsia"/>
          <w:color w:val="000000"/>
          <w:sz w:val="32"/>
          <w:szCs w:val="32"/>
        </w:rPr>
        <w:t>：指由交易商协会制定和发布的《中国银行间市场金融衍生产品交易主协议（凭证特别版）》。</w:t>
      </w:r>
    </w:p>
    <w:p w14:paraId="6A5E2C76" w14:textId="77777777" w:rsidR="00D25E16" w:rsidRDefault="00D25E16" w:rsidP="0064744F">
      <w:pPr>
        <w:spacing w:line="560" w:lineRule="exact"/>
        <w:ind w:firstLineChars="200" w:firstLine="643"/>
        <w:rPr>
          <w:rFonts w:ascii="仿宋" w:eastAsia="仿宋" w:hAnsi="仿宋" w:cs="Times New Roman" w:hint="eastAsia"/>
          <w:b/>
          <w:color w:val="000000"/>
          <w:sz w:val="32"/>
          <w:szCs w:val="32"/>
        </w:rPr>
        <w:sectPr w:rsidR="00D25E16">
          <w:pgSz w:w="11906" w:h="16838"/>
          <w:pgMar w:top="1440" w:right="1800" w:bottom="1440" w:left="1800" w:header="851" w:footer="992" w:gutter="0"/>
          <w:cols w:space="720"/>
          <w:docGrid w:type="lines" w:linePitch="312"/>
        </w:sectPr>
      </w:pPr>
    </w:p>
    <w:p w14:paraId="39DC999D"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22" w:name="_Toc69077734"/>
      <w:bookmarkStart w:id="23" w:name="_Toc205973687"/>
      <w:r>
        <w:rPr>
          <w:rFonts w:ascii="仿宋" w:eastAsia="仿宋" w:hAnsi="仿宋" w:cs="Times New Roman" w:hint="eastAsia"/>
          <w:b/>
          <w:bCs/>
          <w:color w:val="000000"/>
          <w:kern w:val="44"/>
          <w:sz w:val="32"/>
          <w:szCs w:val="32"/>
        </w:rPr>
        <w:lastRenderedPageBreak/>
        <w:t>风险提示及特别说明</w:t>
      </w:r>
      <w:bookmarkEnd w:id="22"/>
      <w:bookmarkEnd w:id="23"/>
    </w:p>
    <w:p w14:paraId="5EFDE158" w14:textId="77777777" w:rsidR="00D25E16" w:rsidRDefault="00D25E16">
      <w:pPr>
        <w:spacing w:line="560" w:lineRule="exact"/>
        <w:ind w:left="420"/>
        <w:rPr>
          <w:rFonts w:ascii="仿宋" w:eastAsia="仿宋" w:hAnsi="仿宋" w:cs="Times New Roman" w:hint="eastAsia"/>
          <w:color w:val="000000"/>
          <w:sz w:val="32"/>
          <w:szCs w:val="32"/>
        </w:rPr>
      </w:pPr>
    </w:p>
    <w:p w14:paraId="4CBAC77B"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4" w:name="_Toc468016884"/>
      <w:bookmarkStart w:id="25" w:name="_Toc7385"/>
      <w:bookmarkStart w:id="26" w:name="_Toc22783"/>
      <w:bookmarkStart w:id="27" w:name="_Toc9086"/>
      <w:bookmarkStart w:id="28" w:name="_Toc17577"/>
      <w:bookmarkStart w:id="29" w:name="_Toc2223"/>
      <w:bookmarkStart w:id="30" w:name="_Toc530063602"/>
      <w:bookmarkStart w:id="31" w:name="_Toc467964229"/>
      <w:bookmarkStart w:id="32" w:name="_Toc69077735"/>
      <w:bookmarkStart w:id="33" w:name="_Toc205973688"/>
      <w:r>
        <w:rPr>
          <w:rFonts w:ascii="仿宋" w:eastAsia="仿宋" w:hAnsi="仿宋" w:cs="Times New Roman" w:hint="eastAsia"/>
          <w:b/>
          <w:bCs/>
          <w:color w:val="000000"/>
          <w:sz w:val="32"/>
          <w:szCs w:val="32"/>
        </w:rPr>
        <w:t>一、</w:t>
      </w:r>
      <w:bookmarkEnd w:id="24"/>
      <w:bookmarkEnd w:id="25"/>
      <w:bookmarkEnd w:id="26"/>
      <w:bookmarkEnd w:id="27"/>
      <w:bookmarkEnd w:id="28"/>
      <w:bookmarkEnd w:id="29"/>
      <w:bookmarkEnd w:id="30"/>
      <w:bookmarkEnd w:id="31"/>
      <w:r>
        <w:rPr>
          <w:rFonts w:ascii="仿宋" w:eastAsia="仿宋" w:hAnsi="仿宋" w:cs="Times New Roman" w:hint="eastAsia"/>
          <w:b/>
          <w:bCs/>
          <w:color w:val="000000"/>
          <w:sz w:val="32"/>
          <w:szCs w:val="32"/>
        </w:rPr>
        <w:t>投资风险提示</w:t>
      </w:r>
      <w:r>
        <w:rPr>
          <w:rFonts w:ascii="仿宋" w:eastAsia="仿宋" w:hAnsi="仿宋" w:cs="Times New Roman" w:hint="eastAsia"/>
          <w:b/>
          <w:bCs/>
          <w:color w:val="000000"/>
          <w:sz w:val="32"/>
          <w:szCs w:val="32"/>
          <w:vertAlign w:val="superscript"/>
        </w:rPr>
        <w:footnoteReference w:id="8"/>
      </w:r>
      <w:bookmarkEnd w:id="32"/>
      <w:bookmarkEnd w:id="33"/>
    </w:p>
    <w:p w14:paraId="3483A3B5"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本期凭证属于信用风险缓释工具，在评价和购买本期凭证时，应特别认真考虑以下各项风险因素。</w:t>
      </w:r>
    </w:p>
    <w:p w14:paraId="392C316B"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（一）流动性风险</w:t>
      </w:r>
    </w:p>
    <w:p w14:paraId="6F70A777"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本期凭证在转让时存在一定的交易流动性风险，可能由于无法找到交易对手而难以将其变现。</w:t>
      </w:r>
    </w:p>
    <w:p w14:paraId="4FD57904"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（二）偿付风险</w:t>
      </w:r>
    </w:p>
    <w:p w14:paraId="4B9060C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在本期凭证的存续期内，如果由于不可控制的市场及环境变化，创设机构可能出现经营状况不佳或创设机构的现金流与预期发生一定的偏差，从而影响本期凭证的按期足额兑付。</w:t>
      </w:r>
    </w:p>
    <w:p w14:paraId="7CDE63D9"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（三）与创设机构相关的主要风险</w:t>
      </w:r>
    </w:p>
    <w:p w14:paraId="7AA971B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如果创设机构在经营管理中，受到自然环境、经济形势、国家政策和自身管理等有关因素的影响，使其经营效益恶化或流动性不足，可能导致其无法履行本期凭证项下支付义务。在本期凭证存续期内，可能出现由于创设机构经营情况变化，导致信用评级机构调整对创设机构的信用级别，从而引起本期凭证交易价格波动，使本期凭证投资者的利益受到影响。</w:t>
      </w:r>
    </w:p>
    <w:p w14:paraId="517B88DD"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（四）不可抗力风险</w:t>
      </w:r>
    </w:p>
    <w:p w14:paraId="0B3E5FF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因不可抗力可能导致本期凭证认购失败、交易中断、资金清算延误、创设机构无法正常履约等。</w:t>
      </w:r>
    </w:p>
    <w:p w14:paraId="72F4BD8D"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lastRenderedPageBreak/>
        <w:t>（五）操作或技术风险</w:t>
      </w:r>
    </w:p>
    <w:p w14:paraId="3218D238"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本期凭证相关当事人在业务各环节操作过程中，因内部控制存在缺陷或者人为因素造成操作失误或违反操作规程等引致的风险，例如越权违规交易、交易错误、IT系统故障等风险。</w:t>
      </w:r>
    </w:p>
    <w:p w14:paraId="7D457BE4"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34" w:name="_Toc69077736"/>
      <w:bookmarkStart w:id="35" w:name="_Toc205973689"/>
      <w:r>
        <w:rPr>
          <w:rFonts w:ascii="仿宋" w:eastAsia="仿宋" w:hAnsi="仿宋" w:cs="Times New Roman" w:hint="eastAsia"/>
          <w:b/>
          <w:color w:val="000000"/>
          <w:sz w:val="32"/>
          <w:szCs w:val="32"/>
        </w:rPr>
        <w:t>二、</w:t>
      </w:r>
      <w:r>
        <w:rPr>
          <w:rFonts w:ascii="仿宋" w:eastAsia="仿宋" w:hAnsi="仿宋" w:cs="Times New Roman" w:hint="eastAsia"/>
          <w:b/>
          <w:bCs/>
          <w:color w:val="000000"/>
          <w:sz w:val="32"/>
          <w:szCs w:val="32"/>
        </w:rPr>
        <w:t>关联方关系说明</w:t>
      </w:r>
      <w:r>
        <w:rPr>
          <w:rFonts w:ascii="仿宋" w:eastAsia="仿宋" w:hAnsi="仿宋" w:cs="Times New Roman" w:hint="eastAsia"/>
          <w:b/>
          <w:bCs/>
          <w:color w:val="000000"/>
          <w:sz w:val="32"/>
          <w:szCs w:val="32"/>
          <w:vertAlign w:val="superscript"/>
        </w:rPr>
        <w:footnoteReference w:id="9"/>
      </w:r>
      <w:bookmarkEnd w:id="34"/>
      <w:bookmarkEnd w:id="35"/>
    </w:p>
    <w:p w14:paraId="6DAED9F4"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7EC56DB" w14:textId="77777777" w:rsidR="00D25E16" w:rsidRDefault="00D74D86">
      <w:pPr>
        <w:spacing w:line="560" w:lineRule="exact"/>
        <w:ind w:firstLineChars="200" w:firstLine="643"/>
        <w:outlineLvl w:val="1"/>
        <w:rPr>
          <w:rFonts w:ascii="仿宋" w:eastAsia="仿宋" w:hAnsi="仿宋" w:cs="Times New Roman" w:hint="eastAsia"/>
          <w:b/>
          <w:bCs/>
          <w:color w:val="000000"/>
          <w:kern w:val="0"/>
          <w:sz w:val="32"/>
          <w:szCs w:val="32"/>
        </w:rPr>
      </w:pPr>
      <w:bookmarkStart w:id="36" w:name="_Toc205973690"/>
      <w:r>
        <w:rPr>
          <w:rFonts w:ascii="仿宋" w:eastAsia="仿宋" w:hAnsi="仿宋" w:cs="Times New Roman" w:hint="eastAsia"/>
          <w:b/>
          <w:bCs/>
          <w:color w:val="000000"/>
          <w:kern w:val="0"/>
          <w:sz w:val="32"/>
          <w:szCs w:val="32"/>
        </w:rPr>
        <w:t>三、投资者适当性标准特殊说明</w:t>
      </w:r>
      <w:r>
        <w:rPr>
          <w:rFonts w:ascii="仿宋" w:eastAsia="仿宋" w:hAnsi="仿宋" w:cs="Times New Roman"/>
          <w:b/>
          <w:bCs/>
          <w:color w:val="000000"/>
          <w:kern w:val="0"/>
          <w:sz w:val="32"/>
          <w:szCs w:val="32"/>
          <w:vertAlign w:val="superscript"/>
        </w:rPr>
        <w:footnoteReference w:id="10"/>
      </w:r>
      <w:bookmarkEnd w:id="36"/>
    </w:p>
    <w:p w14:paraId="70CCFB14"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02C92136" w14:textId="77777777" w:rsidR="00D25E16" w:rsidRDefault="00D74D86">
      <w:pPr>
        <w:spacing w:line="560" w:lineRule="exact"/>
        <w:ind w:firstLineChars="200" w:firstLine="643"/>
        <w:outlineLvl w:val="1"/>
        <w:rPr>
          <w:rFonts w:ascii="仿宋" w:eastAsia="仿宋" w:hAnsi="仿宋" w:cs="Times New Roman" w:hint="eastAsia"/>
          <w:b/>
          <w:bCs/>
          <w:color w:val="000000"/>
          <w:kern w:val="0"/>
          <w:sz w:val="32"/>
          <w:szCs w:val="32"/>
        </w:rPr>
      </w:pPr>
      <w:bookmarkStart w:id="37" w:name="_Toc69077737"/>
      <w:bookmarkStart w:id="38" w:name="_Toc205973691"/>
      <w:r>
        <w:rPr>
          <w:rFonts w:ascii="仿宋" w:eastAsia="仿宋" w:hAnsi="仿宋" w:cs="Times New Roman" w:hint="eastAsia"/>
          <w:b/>
          <w:bCs/>
          <w:color w:val="000000"/>
          <w:kern w:val="0"/>
          <w:sz w:val="32"/>
          <w:szCs w:val="32"/>
        </w:rPr>
        <w:t>四、信用事件条款说明</w:t>
      </w:r>
      <w:bookmarkEnd w:id="37"/>
      <w:bookmarkEnd w:id="38"/>
      <w:r>
        <w:rPr>
          <w:rFonts w:ascii="仿宋" w:eastAsia="仿宋" w:hAnsi="仿宋" w:cs="Times New Roman" w:hint="eastAsia"/>
          <w:b/>
          <w:bCs/>
          <w:color w:val="000000"/>
          <w:kern w:val="0"/>
          <w:sz w:val="32"/>
          <w:szCs w:val="32"/>
          <w:vertAlign w:val="superscript"/>
        </w:rPr>
        <w:footnoteReference w:id="11"/>
      </w:r>
    </w:p>
    <w:p w14:paraId="790BBA4E" w14:textId="77777777" w:rsidR="00D25E16" w:rsidRDefault="00D25E16">
      <w:pPr>
        <w:spacing w:line="560" w:lineRule="exact"/>
        <w:ind w:firstLineChars="200" w:firstLine="643"/>
        <w:rPr>
          <w:rFonts w:ascii="仿宋" w:eastAsia="仿宋" w:hAnsi="仿宋" w:cs="Times New Roman" w:hint="eastAsia"/>
          <w:b/>
          <w:bCs/>
          <w:color w:val="000000"/>
          <w:kern w:val="0"/>
          <w:sz w:val="32"/>
          <w:szCs w:val="32"/>
        </w:rPr>
      </w:pPr>
    </w:p>
    <w:p w14:paraId="51F72A30" w14:textId="77777777" w:rsidR="00D25E16" w:rsidRDefault="00D74D86">
      <w:pPr>
        <w:spacing w:line="560" w:lineRule="exact"/>
        <w:ind w:firstLineChars="200" w:firstLine="643"/>
        <w:outlineLvl w:val="1"/>
        <w:rPr>
          <w:rFonts w:ascii="仿宋" w:eastAsia="仿宋" w:hAnsi="仿宋" w:cs="Times New Roman" w:hint="eastAsia"/>
          <w:b/>
          <w:bCs/>
          <w:color w:val="000000"/>
          <w:kern w:val="0"/>
          <w:sz w:val="32"/>
          <w:szCs w:val="32"/>
        </w:rPr>
      </w:pPr>
      <w:bookmarkStart w:id="39" w:name="_Toc205973692"/>
      <w:bookmarkStart w:id="40" w:name="_Toc69077738"/>
      <w:r>
        <w:rPr>
          <w:rFonts w:ascii="仿宋" w:eastAsia="仿宋" w:hAnsi="仿宋" w:cs="Times New Roman" w:hint="eastAsia"/>
          <w:b/>
          <w:bCs/>
          <w:color w:val="000000"/>
          <w:kern w:val="0"/>
          <w:sz w:val="32"/>
          <w:szCs w:val="32"/>
        </w:rPr>
        <w:t>五、创设安排及交易流通特殊说明</w:t>
      </w:r>
      <w:bookmarkEnd w:id="39"/>
    </w:p>
    <w:p w14:paraId="121A5AEB"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181E96EE" w14:textId="77777777" w:rsidR="00D25E16" w:rsidRDefault="00D74D86">
      <w:pPr>
        <w:spacing w:line="560" w:lineRule="exact"/>
        <w:ind w:firstLineChars="200" w:firstLine="643"/>
        <w:outlineLvl w:val="1"/>
        <w:rPr>
          <w:rFonts w:ascii="仿宋" w:eastAsia="仿宋" w:hAnsi="仿宋" w:cs="Times New Roman" w:hint="eastAsia"/>
          <w:b/>
          <w:bCs/>
          <w:color w:val="000000"/>
          <w:kern w:val="0"/>
          <w:sz w:val="32"/>
          <w:szCs w:val="32"/>
        </w:rPr>
      </w:pPr>
      <w:bookmarkStart w:id="41" w:name="_Toc205973693"/>
      <w:r>
        <w:rPr>
          <w:rFonts w:ascii="仿宋" w:eastAsia="仿宋" w:hAnsi="仿宋" w:cs="Times New Roman" w:hint="eastAsia"/>
          <w:b/>
          <w:bCs/>
          <w:color w:val="000000"/>
          <w:kern w:val="0"/>
          <w:sz w:val="32"/>
          <w:szCs w:val="32"/>
        </w:rPr>
        <w:t>六、结算方式特殊说明</w:t>
      </w:r>
      <w:bookmarkEnd w:id="41"/>
    </w:p>
    <w:p w14:paraId="6890ECB8"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1AD63AE5" w14:textId="77777777" w:rsidR="00D25E16" w:rsidRDefault="00D74D86">
      <w:pPr>
        <w:spacing w:line="560" w:lineRule="exact"/>
        <w:ind w:firstLineChars="200" w:firstLine="643"/>
        <w:outlineLvl w:val="1"/>
        <w:rPr>
          <w:rFonts w:ascii="仿宋" w:eastAsia="仿宋" w:hAnsi="仿宋" w:cs="Times New Roman" w:hint="eastAsia"/>
          <w:b/>
          <w:bCs/>
          <w:color w:val="000000"/>
          <w:kern w:val="0"/>
          <w:sz w:val="32"/>
          <w:szCs w:val="32"/>
        </w:rPr>
      </w:pPr>
      <w:bookmarkStart w:id="42" w:name="_Toc205973694"/>
      <w:r>
        <w:rPr>
          <w:rFonts w:ascii="仿宋" w:eastAsia="仿宋" w:hAnsi="仿宋" w:cs="Times New Roman" w:hint="eastAsia"/>
          <w:b/>
          <w:bCs/>
          <w:color w:val="000000"/>
          <w:kern w:val="0"/>
          <w:sz w:val="32"/>
          <w:szCs w:val="32"/>
        </w:rPr>
        <w:t>七、持有人会议特殊说明</w:t>
      </w:r>
      <w:bookmarkEnd w:id="42"/>
    </w:p>
    <w:p w14:paraId="279E13D2"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766B34B4"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43" w:name="_Toc205973695"/>
      <w:r>
        <w:rPr>
          <w:rFonts w:ascii="仿宋" w:eastAsia="仿宋" w:hAnsi="仿宋" w:cs="Times New Roman" w:hint="eastAsia"/>
          <w:b/>
          <w:bCs/>
          <w:color w:val="000000"/>
          <w:sz w:val="32"/>
          <w:szCs w:val="32"/>
        </w:rPr>
        <w:t>八、其他事项说明</w:t>
      </w:r>
      <w:bookmarkEnd w:id="40"/>
      <w:bookmarkEnd w:id="43"/>
    </w:p>
    <w:p w14:paraId="09D1E04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创设机构未向投资者就与本期凭证相关的参考债务</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任何性质的声明或陈述。创设机构和投资者均有权就参考实体的债务、参考债务进行任何交易，或接受参考实体的存款、向其放款或与其进行任何金融或商业业务活动，</w:t>
      </w:r>
      <w:r>
        <w:rPr>
          <w:rFonts w:ascii="仿宋" w:eastAsia="仿宋" w:hAnsi="仿宋" w:cs="Times New Roman" w:hint="eastAsia"/>
          <w:color w:val="000000"/>
          <w:sz w:val="32"/>
          <w:szCs w:val="32"/>
        </w:rPr>
        <w:lastRenderedPageBreak/>
        <w:t>不受本期凭证的影响，即使上述交易或业务活动可能对参考实体或另一方在本期凭证项下的权利义务产生不利影响（包括但不限于任何可能构成或产生一项信用事件的行为）。</w:t>
      </w:r>
    </w:p>
    <w:p w14:paraId="53965D4F"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创设机构和投资者均有权在本创设说明书签署日后获取或掌握与参考实体有关的信息，该信息可能与本期凭证有关且不为公众或另一方所知悉，但该方没有义务向另一方披露该信息（无论其是否为保密信息）。</w:t>
      </w:r>
    </w:p>
    <w:p w14:paraId="4A868527"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r>
        <w:rPr>
          <w:rFonts w:ascii="仿宋" w:eastAsia="仿宋" w:hAnsi="仿宋" w:cs="Times New Roman"/>
          <w:color w:val="000000"/>
          <w:sz w:val="32"/>
          <w:szCs w:val="32"/>
        </w:rPr>
        <w:br w:type="page"/>
      </w:r>
      <w:bookmarkStart w:id="44" w:name="_Toc8777"/>
      <w:bookmarkStart w:id="45" w:name="_Toc205973696"/>
      <w:bookmarkStart w:id="46" w:name="_Toc467964231"/>
      <w:bookmarkStart w:id="47" w:name="_Toc468016886"/>
      <w:bookmarkStart w:id="48" w:name="_Toc12116"/>
      <w:bookmarkStart w:id="49" w:name="_Toc19410"/>
      <w:bookmarkStart w:id="50" w:name="_Toc16638"/>
      <w:bookmarkStart w:id="51" w:name="_Toc530063603"/>
      <w:bookmarkStart w:id="52" w:name="_Toc9297"/>
      <w:bookmarkStart w:id="53" w:name="_Toc69077739"/>
      <w:r>
        <w:rPr>
          <w:rFonts w:ascii="仿宋" w:eastAsia="仿宋" w:hAnsi="仿宋" w:cs="Times New Roman" w:hint="eastAsia"/>
          <w:b/>
          <w:bCs/>
          <w:color w:val="000000"/>
          <w:kern w:val="44"/>
          <w:sz w:val="32"/>
          <w:szCs w:val="32"/>
        </w:rPr>
        <w:lastRenderedPageBreak/>
        <w:t>创设条款</w:t>
      </w:r>
      <w:bookmarkEnd w:id="44"/>
      <w:bookmarkEnd w:id="45"/>
      <w:bookmarkEnd w:id="46"/>
      <w:bookmarkEnd w:id="47"/>
      <w:bookmarkEnd w:id="48"/>
      <w:bookmarkEnd w:id="49"/>
      <w:bookmarkEnd w:id="50"/>
      <w:bookmarkEnd w:id="51"/>
      <w:bookmarkEnd w:id="52"/>
      <w:bookmarkEnd w:id="53"/>
    </w:p>
    <w:p w14:paraId="25AF00C3"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45BCF947"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54" w:name="_Toc30627"/>
      <w:bookmarkStart w:id="55" w:name="_Toc530063604"/>
      <w:bookmarkStart w:id="56" w:name="_Toc17144"/>
      <w:bookmarkStart w:id="57" w:name="_Toc4207"/>
      <w:bookmarkStart w:id="58" w:name="_Toc4349"/>
      <w:bookmarkStart w:id="59" w:name="_Toc467964232"/>
      <w:bookmarkStart w:id="60" w:name="_Toc468016887"/>
      <w:bookmarkStart w:id="61" w:name="_Toc21335"/>
      <w:bookmarkStart w:id="62" w:name="_Toc205973697"/>
      <w:bookmarkStart w:id="63" w:name="_Toc69077740"/>
      <w:r>
        <w:rPr>
          <w:rFonts w:ascii="仿宋" w:eastAsia="仿宋" w:hAnsi="仿宋" w:cs="Times New Roman" w:hint="eastAsia"/>
          <w:b/>
          <w:bCs/>
          <w:color w:val="000000"/>
          <w:sz w:val="32"/>
          <w:szCs w:val="32"/>
        </w:rPr>
        <w:t>一、创设</w:t>
      </w:r>
      <w:bookmarkEnd w:id="54"/>
      <w:bookmarkEnd w:id="55"/>
      <w:bookmarkEnd w:id="56"/>
      <w:bookmarkEnd w:id="57"/>
      <w:bookmarkEnd w:id="58"/>
      <w:bookmarkEnd w:id="59"/>
      <w:bookmarkEnd w:id="60"/>
      <w:bookmarkEnd w:id="61"/>
      <w:r>
        <w:rPr>
          <w:rFonts w:ascii="仿宋" w:eastAsia="仿宋" w:hAnsi="仿宋" w:cs="Times New Roman" w:hint="eastAsia"/>
          <w:b/>
          <w:bCs/>
          <w:color w:val="000000"/>
          <w:sz w:val="32"/>
          <w:szCs w:val="32"/>
        </w:rPr>
        <w:t>要素</w:t>
      </w:r>
      <w:bookmarkEnd w:id="62"/>
      <w:bookmarkEnd w:id="63"/>
    </w:p>
    <w:p w14:paraId="7DB3FAB9"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以下为本期凭证创设要素。为了解本期凭证的全面情况，投资者应阅读本创设说明书全文。</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5819"/>
      </w:tblGrid>
      <w:tr w:rsidR="00D25E16" w14:paraId="57FD1E7A" w14:textId="77777777">
        <w:trPr>
          <w:trHeight w:val="442"/>
          <w:jc w:val="center"/>
        </w:trPr>
        <w:tc>
          <w:tcPr>
            <w:tcW w:w="2737" w:type="dxa"/>
            <w:vAlign w:val="center"/>
          </w:tcPr>
          <w:p w14:paraId="7CA6748E"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创设机构全称</w:t>
            </w:r>
          </w:p>
        </w:tc>
        <w:tc>
          <w:tcPr>
            <w:tcW w:w="5819" w:type="dxa"/>
            <w:vAlign w:val="center"/>
          </w:tcPr>
          <w:p w14:paraId="18D2546A"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4B0269B0" w14:textId="77777777">
        <w:trPr>
          <w:jc w:val="center"/>
        </w:trPr>
        <w:tc>
          <w:tcPr>
            <w:tcW w:w="2737" w:type="dxa"/>
            <w:vAlign w:val="center"/>
          </w:tcPr>
          <w:p w14:paraId="24872276"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凭证全称</w:t>
            </w:r>
          </w:p>
        </w:tc>
        <w:tc>
          <w:tcPr>
            <w:tcW w:w="5819" w:type="dxa"/>
            <w:vAlign w:val="center"/>
          </w:tcPr>
          <w:p w14:paraId="6F41D12C"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11705B20" w14:textId="77777777">
        <w:trPr>
          <w:jc w:val="center"/>
        </w:trPr>
        <w:tc>
          <w:tcPr>
            <w:tcW w:w="2737" w:type="dxa"/>
            <w:vAlign w:val="center"/>
          </w:tcPr>
          <w:p w14:paraId="369D6393"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参考实体全称及简称</w:t>
            </w:r>
          </w:p>
        </w:tc>
        <w:tc>
          <w:tcPr>
            <w:tcW w:w="5819" w:type="dxa"/>
            <w:vAlign w:val="center"/>
          </w:tcPr>
          <w:p w14:paraId="4F01C1B0"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0A799140" w14:textId="77777777">
        <w:trPr>
          <w:jc w:val="center"/>
        </w:trPr>
        <w:tc>
          <w:tcPr>
            <w:tcW w:w="2737" w:type="dxa"/>
            <w:vAlign w:val="center"/>
          </w:tcPr>
          <w:p w14:paraId="1E649A77"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债务种类</w:t>
            </w:r>
            <w:r>
              <w:rPr>
                <w:rFonts w:ascii="仿宋" w:eastAsia="仿宋" w:hAnsi="仿宋" w:cs="Times New Roman"/>
                <w:color w:val="000000"/>
                <w:sz w:val="28"/>
                <w:szCs w:val="28"/>
                <w:vertAlign w:val="superscript"/>
              </w:rPr>
              <w:footnoteReference w:id="12"/>
            </w:r>
          </w:p>
        </w:tc>
        <w:tc>
          <w:tcPr>
            <w:tcW w:w="5819" w:type="dxa"/>
            <w:vAlign w:val="center"/>
          </w:tcPr>
          <w:p w14:paraId="148697C8"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【仅为参考债务】</w:t>
            </w:r>
          </w:p>
        </w:tc>
      </w:tr>
      <w:tr w:rsidR="00D25E16" w14:paraId="3263BAA4" w14:textId="77777777">
        <w:trPr>
          <w:jc w:val="center"/>
        </w:trPr>
        <w:tc>
          <w:tcPr>
            <w:tcW w:w="2737" w:type="dxa"/>
            <w:vAlign w:val="center"/>
          </w:tcPr>
          <w:p w14:paraId="74C60390" w14:textId="77777777" w:rsidR="00D25E16" w:rsidRDefault="00D74D86">
            <w:pPr>
              <w:spacing w:line="560" w:lineRule="exact"/>
              <w:jc w:val="left"/>
              <w:rPr>
                <w:rFonts w:ascii="仿宋" w:eastAsia="仿宋" w:hAnsi="仿宋" w:cs="Times New Roman" w:hint="eastAsia"/>
                <w:color w:val="000000"/>
                <w:sz w:val="28"/>
                <w:szCs w:val="28"/>
                <w:highlight w:val="yellow"/>
              </w:rPr>
            </w:pPr>
            <w:r>
              <w:rPr>
                <w:rFonts w:ascii="仿宋" w:eastAsia="仿宋" w:hAnsi="仿宋" w:cs="Times New Roman" w:hint="eastAsia"/>
                <w:color w:val="000000"/>
                <w:sz w:val="28"/>
                <w:szCs w:val="28"/>
              </w:rPr>
              <w:t>债务特征</w:t>
            </w:r>
            <w:r>
              <w:rPr>
                <w:rFonts w:ascii="仿宋" w:eastAsia="仿宋" w:hAnsi="仿宋" w:cs="Times New Roman"/>
                <w:color w:val="000000"/>
                <w:sz w:val="28"/>
                <w:szCs w:val="28"/>
                <w:vertAlign w:val="superscript"/>
              </w:rPr>
              <w:footnoteReference w:id="13"/>
            </w:r>
          </w:p>
        </w:tc>
        <w:tc>
          <w:tcPr>
            <w:tcW w:w="5819" w:type="dxa"/>
            <w:vAlign w:val="center"/>
          </w:tcPr>
          <w:p w14:paraId="6B8397CE"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【一般债务、交易流通、本币】</w:t>
            </w:r>
          </w:p>
        </w:tc>
      </w:tr>
      <w:tr w:rsidR="00D25E16" w14:paraId="125E9950" w14:textId="77777777">
        <w:trPr>
          <w:jc w:val="center"/>
        </w:trPr>
        <w:tc>
          <w:tcPr>
            <w:tcW w:w="2737" w:type="dxa"/>
            <w:vAlign w:val="center"/>
          </w:tcPr>
          <w:p w14:paraId="36FBE259"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参考债务全称及简称（如有）</w:t>
            </w:r>
          </w:p>
        </w:tc>
        <w:tc>
          <w:tcPr>
            <w:tcW w:w="5819" w:type="dxa"/>
            <w:vAlign w:val="center"/>
          </w:tcPr>
          <w:p w14:paraId="78272FB8"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4D3D0141" w14:textId="77777777">
        <w:trPr>
          <w:jc w:val="center"/>
        </w:trPr>
        <w:tc>
          <w:tcPr>
            <w:tcW w:w="2737" w:type="dxa"/>
            <w:vAlign w:val="center"/>
          </w:tcPr>
          <w:p w14:paraId="522C4217"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创设方式</w:t>
            </w:r>
            <w:r>
              <w:rPr>
                <w:rFonts w:ascii="仿宋" w:eastAsia="仿宋" w:hAnsi="仿宋" w:cs="Times New Roman" w:hint="eastAsia"/>
                <w:color w:val="000000"/>
                <w:sz w:val="28"/>
                <w:szCs w:val="28"/>
                <w:vertAlign w:val="superscript"/>
              </w:rPr>
              <w:footnoteReference w:id="14"/>
            </w:r>
          </w:p>
        </w:tc>
        <w:tc>
          <w:tcPr>
            <w:tcW w:w="5819" w:type="dxa"/>
            <w:vAlign w:val="center"/>
          </w:tcPr>
          <w:p w14:paraId="06F056C2"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3ED5A811" w14:textId="77777777">
        <w:trPr>
          <w:trHeight w:val="416"/>
          <w:jc w:val="center"/>
        </w:trPr>
        <w:tc>
          <w:tcPr>
            <w:tcW w:w="2737" w:type="dxa"/>
            <w:vAlign w:val="center"/>
          </w:tcPr>
          <w:p w14:paraId="3865FDF8"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投资者范围</w:t>
            </w:r>
          </w:p>
        </w:tc>
        <w:tc>
          <w:tcPr>
            <w:tcW w:w="5819" w:type="dxa"/>
            <w:vAlign w:val="center"/>
          </w:tcPr>
          <w:p w14:paraId="3BCCE763"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【已签署和备案《中国银行间市场金融衍生产品交易主协议（凭证特别版）》的信用风险缓释工具市场参与者，包括核心交易商或一般交易商。】</w:t>
            </w:r>
            <w:r>
              <w:rPr>
                <w:rFonts w:ascii="仿宋" w:eastAsia="仿宋" w:hAnsi="仿宋" w:cs="Times New Roman" w:hint="eastAsia"/>
                <w:color w:val="000000"/>
                <w:sz w:val="28"/>
                <w:szCs w:val="28"/>
                <w:vertAlign w:val="superscript"/>
              </w:rPr>
              <w:footnoteReference w:id="15"/>
            </w:r>
          </w:p>
        </w:tc>
      </w:tr>
      <w:tr w:rsidR="00D25E16" w14:paraId="78D7A583" w14:textId="77777777">
        <w:trPr>
          <w:trHeight w:val="447"/>
          <w:jc w:val="center"/>
        </w:trPr>
        <w:tc>
          <w:tcPr>
            <w:tcW w:w="2737" w:type="dxa"/>
            <w:vAlign w:val="center"/>
          </w:tcPr>
          <w:p w14:paraId="259D6B9E"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名义本金</w:t>
            </w:r>
            <w:r>
              <w:rPr>
                <w:rFonts w:ascii="仿宋" w:eastAsia="仿宋" w:hAnsi="仿宋" w:cs="Times New Roman" w:hint="eastAsia"/>
                <w:color w:val="000000"/>
                <w:sz w:val="28"/>
                <w:szCs w:val="28"/>
                <w:vertAlign w:val="superscript"/>
              </w:rPr>
              <w:footnoteReference w:id="16"/>
            </w:r>
          </w:p>
        </w:tc>
        <w:tc>
          <w:tcPr>
            <w:tcW w:w="5819" w:type="dxa"/>
            <w:vAlign w:val="center"/>
          </w:tcPr>
          <w:p w14:paraId="23366544"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不超过人民币【】万元</w:t>
            </w:r>
          </w:p>
        </w:tc>
      </w:tr>
      <w:tr w:rsidR="00D25E16" w14:paraId="0AD561B5" w14:textId="77777777">
        <w:trPr>
          <w:jc w:val="center"/>
        </w:trPr>
        <w:tc>
          <w:tcPr>
            <w:tcW w:w="2737" w:type="dxa"/>
            <w:vAlign w:val="center"/>
          </w:tcPr>
          <w:p w14:paraId="03F57B32"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定价方式</w:t>
            </w:r>
          </w:p>
        </w:tc>
        <w:tc>
          <w:tcPr>
            <w:tcW w:w="5819" w:type="dxa"/>
            <w:vAlign w:val="center"/>
          </w:tcPr>
          <w:p w14:paraId="7B83D027"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【簿记建档】</w:t>
            </w:r>
            <w:r>
              <w:rPr>
                <w:rFonts w:ascii="仿宋" w:eastAsia="仿宋" w:hAnsi="仿宋" w:cs="Times New Roman"/>
                <w:color w:val="000000"/>
                <w:sz w:val="28"/>
                <w:szCs w:val="28"/>
                <w:vertAlign w:val="superscript"/>
              </w:rPr>
              <w:footnoteReference w:id="17"/>
            </w:r>
          </w:p>
        </w:tc>
      </w:tr>
      <w:tr w:rsidR="00D25E16" w14:paraId="77346F30" w14:textId="77777777">
        <w:trPr>
          <w:trHeight w:val="353"/>
          <w:jc w:val="center"/>
        </w:trPr>
        <w:tc>
          <w:tcPr>
            <w:tcW w:w="2737" w:type="dxa"/>
            <w:vAlign w:val="center"/>
          </w:tcPr>
          <w:p w14:paraId="371201D8"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lastRenderedPageBreak/>
              <w:t>创设日/簿记建档日</w:t>
            </w:r>
            <w:r>
              <w:rPr>
                <w:rFonts w:ascii="仿宋" w:eastAsia="仿宋" w:hAnsi="仿宋" w:cs="Times New Roman" w:hint="eastAsia"/>
                <w:color w:val="000000"/>
                <w:sz w:val="28"/>
                <w:szCs w:val="28"/>
                <w:vertAlign w:val="superscript"/>
              </w:rPr>
              <w:footnoteReference w:id="18"/>
            </w:r>
          </w:p>
        </w:tc>
        <w:tc>
          <w:tcPr>
            <w:tcW w:w="5819" w:type="dxa"/>
            <w:vAlign w:val="center"/>
          </w:tcPr>
          <w:p w14:paraId="48DD91F0"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53682197" w14:textId="77777777">
        <w:trPr>
          <w:trHeight w:val="324"/>
          <w:jc w:val="center"/>
        </w:trPr>
        <w:tc>
          <w:tcPr>
            <w:tcW w:w="2737" w:type="dxa"/>
            <w:vAlign w:val="center"/>
          </w:tcPr>
          <w:p w14:paraId="319A7DD3"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凭证登记日</w:t>
            </w:r>
            <w:r>
              <w:rPr>
                <w:rFonts w:ascii="仿宋" w:eastAsia="仿宋" w:hAnsi="仿宋" w:cs="Times New Roman" w:hint="eastAsia"/>
                <w:color w:val="000000"/>
                <w:sz w:val="28"/>
                <w:szCs w:val="28"/>
                <w:vertAlign w:val="superscript"/>
              </w:rPr>
              <w:footnoteReference w:id="19"/>
            </w:r>
          </w:p>
        </w:tc>
        <w:tc>
          <w:tcPr>
            <w:tcW w:w="5819" w:type="dxa"/>
          </w:tcPr>
          <w:p w14:paraId="0ED9C506"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51EF6859" w14:textId="77777777">
        <w:trPr>
          <w:jc w:val="center"/>
        </w:trPr>
        <w:tc>
          <w:tcPr>
            <w:tcW w:w="2737" w:type="dxa"/>
            <w:vAlign w:val="center"/>
          </w:tcPr>
          <w:p w14:paraId="5CDD705A"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上市流通日</w:t>
            </w:r>
          </w:p>
        </w:tc>
        <w:tc>
          <w:tcPr>
            <w:tcW w:w="5819" w:type="dxa"/>
          </w:tcPr>
          <w:p w14:paraId="362C0603"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5020DFF6" w14:textId="77777777">
        <w:trPr>
          <w:jc w:val="center"/>
        </w:trPr>
        <w:tc>
          <w:tcPr>
            <w:tcW w:w="2737" w:type="dxa"/>
            <w:vAlign w:val="center"/>
          </w:tcPr>
          <w:p w14:paraId="6882EE34"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信用保护费支付日</w:t>
            </w:r>
          </w:p>
        </w:tc>
        <w:tc>
          <w:tcPr>
            <w:tcW w:w="5819" w:type="dxa"/>
            <w:vAlign w:val="center"/>
          </w:tcPr>
          <w:p w14:paraId="01F932DC"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0D15BB7C" w14:textId="77777777">
        <w:trPr>
          <w:jc w:val="center"/>
        </w:trPr>
        <w:tc>
          <w:tcPr>
            <w:tcW w:w="2737" w:type="dxa"/>
            <w:vAlign w:val="center"/>
          </w:tcPr>
          <w:p w14:paraId="183CC97F"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信用保护起始日/起始日</w:t>
            </w:r>
            <w:r>
              <w:rPr>
                <w:rFonts w:ascii="仿宋" w:eastAsia="仿宋" w:hAnsi="仿宋" w:cs="Times New Roman" w:hint="eastAsia"/>
                <w:color w:val="000000"/>
                <w:sz w:val="28"/>
                <w:szCs w:val="28"/>
                <w:vertAlign w:val="superscript"/>
              </w:rPr>
              <w:footnoteReference w:id="20"/>
            </w:r>
          </w:p>
        </w:tc>
        <w:tc>
          <w:tcPr>
            <w:tcW w:w="5819" w:type="dxa"/>
          </w:tcPr>
          <w:p w14:paraId="6F0AD18B"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0FB8DB45" w14:textId="77777777">
        <w:trPr>
          <w:jc w:val="center"/>
        </w:trPr>
        <w:tc>
          <w:tcPr>
            <w:tcW w:w="2737" w:type="dxa"/>
            <w:vAlign w:val="center"/>
          </w:tcPr>
          <w:p w14:paraId="15C62C70"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信用保护到期日/约定到期日</w:t>
            </w:r>
          </w:p>
        </w:tc>
        <w:tc>
          <w:tcPr>
            <w:tcW w:w="5819" w:type="dxa"/>
          </w:tcPr>
          <w:p w14:paraId="6EA3747D"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55368DAC" w14:textId="77777777">
        <w:trPr>
          <w:jc w:val="center"/>
        </w:trPr>
        <w:tc>
          <w:tcPr>
            <w:tcW w:w="2737" w:type="dxa"/>
            <w:vAlign w:val="center"/>
          </w:tcPr>
          <w:p w14:paraId="41C0A348"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约定到期日适用</w:t>
            </w:r>
          </w:p>
          <w:p w14:paraId="1644EA5C"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营业日准则</w:t>
            </w:r>
          </w:p>
        </w:tc>
        <w:tc>
          <w:tcPr>
            <w:tcW w:w="5819" w:type="dxa"/>
            <w:vAlign w:val="center"/>
          </w:tcPr>
          <w:p w14:paraId="6CDF7FCB"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【适用】或【不适用】</w:t>
            </w:r>
          </w:p>
        </w:tc>
      </w:tr>
      <w:tr w:rsidR="00D25E16" w14:paraId="7AB05EAD" w14:textId="77777777">
        <w:trPr>
          <w:jc w:val="center"/>
        </w:trPr>
        <w:tc>
          <w:tcPr>
            <w:tcW w:w="2737" w:type="dxa"/>
            <w:vAlign w:val="center"/>
          </w:tcPr>
          <w:p w14:paraId="28E5F44D"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信用保护买方</w:t>
            </w:r>
          </w:p>
        </w:tc>
        <w:tc>
          <w:tcPr>
            <w:tcW w:w="5819" w:type="dxa"/>
            <w:vAlign w:val="center"/>
          </w:tcPr>
          <w:p w14:paraId="18D9E845"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本期凭证持有人</w:t>
            </w:r>
          </w:p>
        </w:tc>
      </w:tr>
      <w:tr w:rsidR="00D25E16" w14:paraId="1EF7312A" w14:textId="77777777">
        <w:trPr>
          <w:jc w:val="center"/>
        </w:trPr>
        <w:tc>
          <w:tcPr>
            <w:tcW w:w="2737" w:type="dxa"/>
            <w:vAlign w:val="center"/>
          </w:tcPr>
          <w:p w14:paraId="5B2D1B37"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信用保护卖方</w:t>
            </w:r>
          </w:p>
        </w:tc>
        <w:tc>
          <w:tcPr>
            <w:tcW w:w="5819" w:type="dxa"/>
            <w:vAlign w:val="center"/>
          </w:tcPr>
          <w:p w14:paraId="6C79FD4C"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本期凭证创设机构</w:t>
            </w:r>
          </w:p>
        </w:tc>
      </w:tr>
      <w:tr w:rsidR="00D25E16" w14:paraId="5001749F" w14:textId="77777777">
        <w:trPr>
          <w:jc w:val="center"/>
        </w:trPr>
        <w:tc>
          <w:tcPr>
            <w:tcW w:w="2737" w:type="dxa"/>
            <w:vAlign w:val="center"/>
          </w:tcPr>
          <w:p w14:paraId="0C25E91C"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付费方式</w:t>
            </w:r>
            <w:r>
              <w:rPr>
                <w:rFonts w:ascii="仿宋" w:eastAsia="仿宋" w:hAnsi="仿宋" w:cs="Times New Roman"/>
                <w:color w:val="000000"/>
                <w:sz w:val="28"/>
                <w:szCs w:val="28"/>
                <w:vertAlign w:val="superscript"/>
              </w:rPr>
              <w:footnoteReference w:id="21"/>
            </w:r>
          </w:p>
        </w:tc>
        <w:tc>
          <w:tcPr>
            <w:tcW w:w="5819" w:type="dxa"/>
            <w:vAlign w:val="center"/>
          </w:tcPr>
          <w:p w14:paraId="256C8A46"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70561560" w14:textId="77777777">
        <w:trPr>
          <w:jc w:val="center"/>
        </w:trPr>
        <w:tc>
          <w:tcPr>
            <w:tcW w:w="2737" w:type="dxa"/>
            <w:vAlign w:val="center"/>
          </w:tcPr>
          <w:p w14:paraId="62E3E5C1"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信用保护费费率</w:t>
            </w:r>
          </w:p>
        </w:tc>
        <w:tc>
          <w:tcPr>
            <w:tcW w:w="5819" w:type="dxa"/>
            <w:vAlign w:val="center"/>
          </w:tcPr>
          <w:p w14:paraId="5BF20FD4"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【根据本期凭证簿记建档结果确定】</w:t>
            </w:r>
            <w:r>
              <w:rPr>
                <w:rFonts w:ascii="仿宋" w:eastAsia="仿宋" w:hAnsi="仿宋" w:cs="Times New Roman" w:hint="eastAsia"/>
                <w:color w:val="000000"/>
                <w:sz w:val="28"/>
                <w:szCs w:val="28"/>
                <w:vertAlign w:val="superscript"/>
              </w:rPr>
              <w:footnoteReference w:id="22"/>
            </w:r>
          </w:p>
        </w:tc>
      </w:tr>
      <w:tr w:rsidR="00D25E16" w14:paraId="5C554647" w14:textId="77777777">
        <w:trPr>
          <w:jc w:val="center"/>
        </w:trPr>
        <w:tc>
          <w:tcPr>
            <w:tcW w:w="2737" w:type="dxa"/>
            <w:vAlign w:val="center"/>
          </w:tcPr>
          <w:p w14:paraId="317EEA27"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信用保护费簿记建档区间（年化）</w:t>
            </w:r>
            <w:r>
              <w:rPr>
                <w:rFonts w:ascii="仿宋" w:eastAsia="仿宋" w:hAnsi="仿宋" w:cs="Times New Roman" w:hint="eastAsia"/>
                <w:color w:val="000000"/>
                <w:sz w:val="28"/>
                <w:szCs w:val="28"/>
                <w:vertAlign w:val="superscript"/>
              </w:rPr>
              <w:footnoteReference w:id="23"/>
            </w:r>
          </w:p>
        </w:tc>
        <w:tc>
          <w:tcPr>
            <w:tcW w:w="5819" w:type="dxa"/>
            <w:vAlign w:val="center"/>
          </w:tcPr>
          <w:p w14:paraId="6CE9B1C2"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w:t>
            </w:r>
          </w:p>
        </w:tc>
      </w:tr>
      <w:tr w:rsidR="00D25E16" w14:paraId="7CF3D542" w14:textId="77777777">
        <w:trPr>
          <w:jc w:val="center"/>
        </w:trPr>
        <w:tc>
          <w:tcPr>
            <w:tcW w:w="2737" w:type="dxa"/>
            <w:vAlign w:val="center"/>
          </w:tcPr>
          <w:p w14:paraId="4E75F3B9"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计息基准</w:t>
            </w:r>
          </w:p>
        </w:tc>
        <w:tc>
          <w:tcPr>
            <w:tcW w:w="5819" w:type="dxa"/>
            <w:vAlign w:val="center"/>
          </w:tcPr>
          <w:p w14:paraId="1E13E98F"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【实际天数/实际天数】</w:t>
            </w:r>
          </w:p>
        </w:tc>
      </w:tr>
      <w:tr w:rsidR="00D25E16" w14:paraId="6ED24BE0" w14:textId="77777777">
        <w:trPr>
          <w:jc w:val="center"/>
        </w:trPr>
        <w:tc>
          <w:tcPr>
            <w:tcW w:w="2737" w:type="dxa"/>
            <w:vAlign w:val="center"/>
          </w:tcPr>
          <w:p w14:paraId="31493BAA"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营业日</w:t>
            </w:r>
          </w:p>
        </w:tc>
        <w:tc>
          <w:tcPr>
            <w:tcW w:w="5819" w:type="dxa"/>
            <w:vAlign w:val="center"/>
          </w:tcPr>
          <w:p w14:paraId="6182B7CE"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【北京的商业银行正常营业时间】</w:t>
            </w:r>
          </w:p>
        </w:tc>
      </w:tr>
      <w:tr w:rsidR="00D25E16" w14:paraId="158A7759" w14:textId="77777777">
        <w:trPr>
          <w:jc w:val="center"/>
        </w:trPr>
        <w:tc>
          <w:tcPr>
            <w:tcW w:w="2737" w:type="dxa"/>
            <w:vAlign w:val="center"/>
          </w:tcPr>
          <w:p w14:paraId="14B5BBC0"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营业日准则</w:t>
            </w:r>
          </w:p>
        </w:tc>
        <w:tc>
          <w:tcPr>
            <w:tcW w:w="5819" w:type="dxa"/>
            <w:vAlign w:val="center"/>
          </w:tcPr>
          <w:p w14:paraId="1AF07378"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【下一营业日】</w:t>
            </w:r>
            <w:r>
              <w:rPr>
                <w:rFonts w:ascii="仿宋" w:eastAsia="仿宋" w:hAnsi="仿宋" w:cs="Times New Roman" w:hint="eastAsia"/>
                <w:color w:val="000000"/>
                <w:sz w:val="28"/>
                <w:szCs w:val="28"/>
                <w:vertAlign w:val="superscript"/>
              </w:rPr>
              <w:footnoteReference w:id="24"/>
            </w:r>
          </w:p>
        </w:tc>
      </w:tr>
      <w:tr w:rsidR="00D25E16" w14:paraId="4F06ED8C" w14:textId="77777777">
        <w:trPr>
          <w:jc w:val="center"/>
        </w:trPr>
        <w:tc>
          <w:tcPr>
            <w:tcW w:w="2737" w:type="dxa"/>
            <w:vAlign w:val="center"/>
          </w:tcPr>
          <w:p w14:paraId="7C114002"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lastRenderedPageBreak/>
              <w:t>信用事件</w:t>
            </w:r>
          </w:p>
        </w:tc>
        <w:tc>
          <w:tcPr>
            <w:tcW w:w="5819" w:type="dxa"/>
            <w:vAlign w:val="center"/>
          </w:tcPr>
          <w:p w14:paraId="3CD19326"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289A9309" w14:textId="77777777">
        <w:trPr>
          <w:jc w:val="center"/>
        </w:trPr>
        <w:tc>
          <w:tcPr>
            <w:tcW w:w="2737" w:type="dxa"/>
            <w:vAlign w:val="center"/>
          </w:tcPr>
          <w:p w14:paraId="57D3FE68"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结算方式</w:t>
            </w:r>
            <w:r>
              <w:rPr>
                <w:rFonts w:ascii="仿宋" w:eastAsia="仿宋" w:hAnsi="仿宋" w:cs="Times New Roman"/>
                <w:color w:val="000000"/>
                <w:sz w:val="28"/>
                <w:szCs w:val="28"/>
                <w:vertAlign w:val="superscript"/>
              </w:rPr>
              <w:footnoteReference w:id="25"/>
            </w:r>
          </w:p>
        </w:tc>
        <w:tc>
          <w:tcPr>
            <w:tcW w:w="5819" w:type="dxa"/>
            <w:vAlign w:val="center"/>
          </w:tcPr>
          <w:p w14:paraId="7AD3C0DB"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62DCBFDB" w14:textId="77777777">
        <w:trPr>
          <w:jc w:val="center"/>
        </w:trPr>
        <w:tc>
          <w:tcPr>
            <w:tcW w:w="2737" w:type="dxa"/>
            <w:vAlign w:val="center"/>
          </w:tcPr>
          <w:p w14:paraId="4D079550"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可交付债务（如有）</w:t>
            </w:r>
            <w:r>
              <w:rPr>
                <w:rFonts w:ascii="仿宋" w:eastAsia="仿宋" w:hAnsi="仿宋" w:cs="Times New Roman"/>
                <w:color w:val="000000"/>
                <w:sz w:val="28"/>
                <w:szCs w:val="28"/>
                <w:vertAlign w:val="superscript"/>
              </w:rPr>
              <w:footnoteReference w:id="26"/>
            </w:r>
          </w:p>
        </w:tc>
        <w:tc>
          <w:tcPr>
            <w:tcW w:w="5819" w:type="dxa"/>
            <w:vAlign w:val="center"/>
          </w:tcPr>
          <w:p w14:paraId="36F7FE1F" w14:textId="77777777" w:rsidR="00D25E16" w:rsidRDefault="00D25E16">
            <w:pPr>
              <w:spacing w:line="560" w:lineRule="exact"/>
              <w:jc w:val="left"/>
              <w:rPr>
                <w:rFonts w:ascii="仿宋" w:eastAsia="仿宋" w:hAnsi="仿宋" w:cs="Times New Roman" w:hint="eastAsia"/>
                <w:color w:val="000000"/>
                <w:sz w:val="28"/>
                <w:szCs w:val="28"/>
              </w:rPr>
            </w:pPr>
          </w:p>
        </w:tc>
      </w:tr>
      <w:tr w:rsidR="00D25E16" w14:paraId="040976EB" w14:textId="77777777">
        <w:trPr>
          <w:jc w:val="center"/>
        </w:trPr>
        <w:tc>
          <w:tcPr>
            <w:tcW w:w="2737" w:type="dxa"/>
            <w:vAlign w:val="center"/>
          </w:tcPr>
          <w:p w14:paraId="49B9112B"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参考比例</w:t>
            </w:r>
          </w:p>
        </w:tc>
        <w:tc>
          <w:tcPr>
            <w:tcW w:w="5819" w:type="dxa"/>
            <w:vAlign w:val="center"/>
          </w:tcPr>
          <w:p w14:paraId="5BD48BF1"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100%</w:t>
            </w:r>
          </w:p>
        </w:tc>
      </w:tr>
      <w:tr w:rsidR="00D25E16" w14:paraId="2A5CDCF9" w14:textId="77777777">
        <w:trPr>
          <w:jc w:val="center"/>
        </w:trPr>
        <w:tc>
          <w:tcPr>
            <w:tcW w:w="2737" w:type="dxa"/>
            <w:vAlign w:val="center"/>
          </w:tcPr>
          <w:p w14:paraId="7A23CB17"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实物结算日/实物交割日</w:t>
            </w:r>
            <w:r>
              <w:rPr>
                <w:rFonts w:ascii="仿宋" w:eastAsia="仿宋" w:hAnsi="仿宋" w:cs="Times New Roman" w:hint="eastAsia"/>
                <w:color w:val="000000"/>
                <w:sz w:val="28"/>
                <w:szCs w:val="28"/>
                <w:vertAlign w:val="superscript"/>
              </w:rPr>
              <w:footnoteReference w:id="27"/>
            </w:r>
          </w:p>
        </w:tc>
        <w:tc>
          <w:tcPr>
            <w:tcW w:w="5819" w:type="dxa"/>
            <w:vAlign w:val="center"/>
          </w:tcPr>
          <w:p w14:paraId="4A333AA0"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由投资者在实物交割通知中指定的某一个营业日，在结算条件满足之日后的【】</w:t>
            </w:r>
            <w:proofErr w:type="gramStart"/>
            <w:r>
              <w:rPr>
                <w:rFonts w:ascii="仿宋" w:eastAsia="仿宋" w:hAnsi="仿宋" w:cs="Times New Roman" w:hint="eastAsia"/>
                <w:color w:val="000000"/>
                <w:sz w:val="28"/>
                <w:szCs w:val="28"/>
              </w:rPr>
              <w:t>个</w:t>
            </w:r>
            <w:proofErr w:type="gramEnd"/>
            <w:r>
              <w:rPr>
                <w:rFonts w:ascii="仿宋" w:eastAsia="仿宋" w:hAnsi="仿宋" w:cs="Times New Roman" w:hint="eastAsia"/>
                <w:color w:val="000000"/>
                <w:sz w:val="28"/>
                <w:szCs w:val="28"/>
              </w:rPr>
              <w:t>营业日内</w:t>
            </w:r>
            <w:r>
              <w:rPr>
                <w:rFonts w:ascii="仿宋" w:eastAsia="仿宋" w:hAnsi="仿宋" w:cs="Times New Roman" w:hint="eastAsia"/>
                <w:color w:val="000000"/>
                <w:sz w:val="28"/>
                <w:szCs w:val="28"/>
                <w:vertAlign w:val="superscript"/>
              </w:rPr>
              <w:footnoteReference w:id="28"/>
            </w:r>
            <w:r>
              <w:rPr>
                <w:rFonts w:ascii="仿宋" w:eastAsia="仿宋" w:hAnsi="仿宋" w:cs="Times New Roman" w:hint="eastAsia"/>
                <w:color w:val="000000"/>
                <w:sz w:val="28"/>
                <w:szCs w:val="28"/>
              </w:rPr>
              <w:t>。</w:t>
            </w:r>
          </w:p>
        </w:tc>
      </w:tr>
      <w:tr w:rsidR="00D25E16" w14:paraId="50761917" w14:textId="77777777">
        <w:trPr>
          <w:jc w:val="center"/>
        </w:trPr>
        <w:tc>
          <w:tcPr>
            <w:tcW w:w="2737" w:type="dxa"/>
            <w:vAlign w:val="center"/>
          </w:tcPr>
          <w:p w14:paraId="479615EC"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凭证登记托管机构</w:t>
            </w:r>
          </w:p>
        </w:tc>
        <w:tc>
          <w:tcPr>
            <w:tcW w:w="5819" w:type="dxa"/>
            <w:vAlign w:val="center"/>
          </w:tcPr>
          <w:p w14:paraId="63D3D3ED" w14:textId="77777777" w:rsidR="00D25E16" w:rsidRDefault="00D74D86">
            <w:pPr>
              <w:spacing w:line="560" w:lineRule="exact"/>
              <w:jc w:val="left"/>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上海清算所</w:t>
            </w:r>
          </w:p>
        </w:tc>
      </w:tr>
    </w:tbl>
    <w:p w14:paraId="5DAD7A12" w14:textId="77777777" w:rsidR="00D25E16" w:rsidRDefault="00D25E16">
      <w:pPr>
        <w:spacing w:line="560" w:lineRule="exact"/>
        <w:ind w:firstLineChars="200" w:firstLine="640"/>
        <w:rPr>
          <w:rFonts w:ascii="仿宋" w:eastAsia="仿宋" w:hAnsi="仿宋" w:cs="Times New Roman" w:hint="eastAsia"/>
          <w:color w:val="000000"/>
          <w:sz w:val="32"/>
          <w:szCs w:val="32"/>
        </w:rPr>
      </w:pPr>
      <w:bookmarkStart w:id="64" w:name="_Toc528934876"/>
      <w:bookmarkStart w:id="65" w:name="_Toc29358"/>
      <w:bookmarkStart w:id="66" w:name="_Toc13066"/>
      <w:bookmarkStart w:id="67" w:name="_Toc530063605"/>
      <w:bookmarkStart w:id="68" w:name="_Toc27971"/>
      <w:bookmarkStart w:id="69" w:name="_Toc9881"/>
      <w:bookmarkStart w:id="70" w:name="_Toc3396"/>
      <w:bookmarkStart w:id="71" w:name="_Toc467964234"/>
      <w:bookmarkStart w:id="72" w:name="_Toc468016889"/>
    </w:p>
    <w:p w14:paraId="6330E1E6"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73" w:name="_Toc205973698"/>
      <w:bookmarkStart w:id="74" w:name="_Toc69077741"/>
      <w:bookmarkEnd w:id="64"/>
      <w:r>
        <w:rPr>
          <w:rFonts w:ascii="仿宋" w:eastAsia="仿宋" w:hAnsi="仿宋" w:cs="Times New Roman" w:hint="eastAsia"/>
          <w:b/>
          <w:bCs/>
          <w:color w:val="000000"/>
          <w:sz w:val="32"/>
          <w:szCs w:val="32"/>
        </w:rPr>
        <w:t>二、创设销售流程</w:t>
      </w:r>
      <w:bookmarkEnd w:id="65"/>
      <w:bookmarkEnd w:id="66"/>
      <w:bookmarkEnd w:id="67"/>
      <w:bookmarkEnd w:id="68"/>
      <w:bookmarkEnd w:id="69"/>
      <w:bookmarkEnd w:id="70"/>
      <w:bookmarkEnd w:id="73"/>
      <w:bookmarkEnd w:id="74"/>
    </w:p>
    <w:p w14:paraId="65571AD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本期凭证采用【】</w:t>
      </w:r>
      <w:r>
        <w:rPr>
          <w:rFonts w:ascii="仿宋" w:eastAsia="仿宋" w:hAnsi="仿宋" w:cs="Times New Roman"/>
          <w:color w:val="000000"/>
          <w:sz w:val="32"/>
          <w:szCs w:val="32"/>
          <w:vertAlign w:val="superscript"/>
        </w:rPr>
        <w:footnoteReference w:id="29"/>
      </w:r>
      <w:r>
        <w:rPr>
          <w:rFonts w:ascii="仿宋" w:eastAsia="仿宋" w:hAnsi="仿宋" w:cs="Times New Roman" w:hint="eastAsia"/>
          <w:color w:val="000000"/>
          <w:sz w:val="32"/>
          <w:szCs w:val="32"/>
        </w:rPr>
        <w:t>方式进行销售。本期凭证创设机构的联系人为【】，联系方式为【】，传真为【】，邮箱为【】。</w:t>
      </w:r>
    </w:p>
    <w:p w14:paraId="59AD34E5" w14:textId="77777777" w:rsidR="00D25E16" w:rsidRDefault="00D74D86">
      <w:pPr>
        <w:spacing w:line="560" w:lineRule="exact"/>
        <w:ind w:firstLineChars="200" w:firstLine="643"/>
        <w:rPr>
          <w:rFonts w:ascii="仿宋" w:eastAsia="仿宋" w:hAnsi="仿宋" w:cs="Times New Roman" w:hint="eastAsia"/>
          <w:b/>
          <w:bCs/>
          <w:color w:val="000000"/>
          <w:sz w:val="32"/>
          <w:szCs w:val="32"/>
        </w:rPr>
      </w:pPr>
      <w:r>
        <w:rPr>
          <w:rFonts w:ascii="仿宋" w:eastAsia="仿宋" w:hAnsi="仿宋" w:cs="Times New Roman" w:hint="eastAsia"/>
          <w:b/>
          <w:bCs/>
          <w:color w:val="000000"/>
          <w:sz w:val="32"/>
          <w:szCs w:val="32"/>
        </w:rPr>
        <w:t>（一）适用簿记建档方式</w:t>
      </w:r>
    </w:p>
    <w:p w14:paraId="64D3150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本期凭证的簿记场所为【】。创设机构应按照凭证簿记建档的相关要求及该簿记场所相关操作规程完成簿记建档工作。</w:t>
      </w:r>
    </w:p>
    <w:p w14:paraId="10DA6D3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凭证的簿记建档将分为预配售和正式配售两个阶段</w:t>
      </w:r>
      <w:r>
        <w:rPr>
          <w:rFonts w:ascii="仿宋" w:eastAsia="仿宋" w:hAnsi="仿宋" w:cs="Times New Roman" w:hint="eastAsia"/>
          <w:color w:val="000000"/>
          <w:sz w:val="32"/>
          <w:szCs w:val="32"/>
          <w:vertAlign w:val="superscript"/>
        </w:rPr>
        <w:footnoteReference w:id="30"/>
      </w:r>
      <w:r>
        <w:rPr>
          <w:rFonts w:ascii="仿宋" w:eastAsia="仿宋" w:hAnsi="仿宋" w:cs="Times New Roman" w:hint="eastAsia"/>
          <w:color w:val="000000"/>
          <w:sz w:val="32"/>
          <w:szCs w:val="32"/>
        </w:rPr>
        <w:t>。所有申购本期凭证的投资者须在申购要约中承诺申购本期凭证参考债务，且申购参考债务的金额应不少于其获得的</w:t>
      </w:r>
      <w:r>
        <w:rPr>
          <w:rFonts w:ascii="仿宋" w:eastAsia="仿宋" w:hAnsi="仿宋" w:cs="Times New Roman" w:hint="eastAsia"/>
          <w:color w:val="000000"/>
          <w:sz w:val="32"/>
          <w:szCs w:val="32"/>
        </w:rPr>
        <w:lastRenderedPageBreak/>
        <w:t>本期凭证预配售名义本金金额。</w:t>
      </w:r>
    </w:p>
    <w:p w14:paraId="269D5969"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1.预配售安排</w:t>
      </w:r>
      <w:r>
        <w:rPr>
          <w:rFonts w:ascii="仿宋" w:eastAsia="仿宋" w:hAnsi="仿宋" w:cs="Times New Roman" w:hint="eastAsia"/>
          <w:b/>
          <w:color w:val="000000"/>
          <w:sz w:val="32"/>
          <w:szCs w:val="32"/>
          <w:vertAlign w:val="superscript"/>
        </w:rPr>
        <w:footnoteReference w:id="31"/>
      </w:r>
    </w:p>
    <w:p w14:paraId="7D7BD6F9"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本期凭证申购时间为【】年【】月【】日【】时至【】年【】月【】日【】时整</w:t>
      </w:r>
      <w:r>
        <w:rPr>
          <w:rFonts w:ascii="仿宋" w:eastAsia="仿宋" w:hAnsi="仿宋" w:cs="Times New Roman"/>
          <w:color w:val="000000"/>
          <w:sz w:val="32"/>
          <w:szCs w:val="32"/>
          <w:vertAlign w:val="superscript"/>
        </w:rPr>
        <w:footnoteReference w:id="32"/>
      </w:r>
      <w:r>
        <w:rPr>
          <w:rFonts w:ascii="仿宋" w:eastAsia="仿宋" w:hAnsi="仿宋" w:cs="Times New Roman" w:hint="eastAsia"/>
          <w:color w:val="000000"/>
          <w:sz w:val="32"/>
          <w:szCs w:val="32"/>
        </w:rPr>
        <w:t>，投资者应在申</w:t>
      </w:r>
      <w:proofErr w:type="gramStart"/>
      <w:r>
        <w:rPr>
          <w:rFonts w:ascii="仿宋" w:eastAsia="仿宋" w:hAnsi="仿宋" w:cs="Times New Roman" w:hint="eastAsia"/>
          <w:color w:val="000000"/>
          <w:sz w:val="32"/>
          <w:szCs w:val="32"/>
        </w:rPr>
        <w:t>购时间</w:t>
      </w:r>
      <w:proofErr w:type="gramEnd"/>
      <w:r>
        <w:rPr>
          <w:rFonts w:ascii="仿宋" w:eastAsia="仿宋" w:hAnsi="仿宋" w:cs="Times New Roman" w:hint="eastAsia"/>
          <w:color w:val="000000"/>
          <w:sz w:val="32"/>
          <w:szCs w:val="32"/>
        </w:rPr>
        <w:t>内通过创设机构指定的【】方式</w:t>
      </w:r>
      <w:r>
        <w:rPr>
          <w:rFonts w:ascii="仿宋" w:eastAsia="仿宋" w:hAnsi="仿宋" w:cs="Times New Roman"/>
          <w:color w:val="000000"/>
          <w:sz w:val="32"/>
          <w:szCs w:val="32"/>
          <w:vertAlign w:val="superscript"/>
        </w:rPr>
        <w:footnoteReference w:id="33"/>
      </w:r>
      <w:r>
        <w:rPr>
          <w:rFonts w:ascii="仿宋" w:eastAsia="仿宋" w:hAnsi="仿宋" w:cs="Times New Roman" w:hint="eastAsia"/>
          <w:color w:val="000000"/>
          <w:sz w:val="32"/>
          <w:szCs w:val="32"/>
        </w:rPr>
        <w:t>提交申购要约。单一投资者（</w:t>
      </w:r>
      <w:proofErr w:type="gramStart"/>
      <w:r>
        <w:rPr>
          <w:rFonts w:ascii="仿宋" w:eastAsia="仿宋" w:hAnsi="仿宋" w:cs="Times New Roman" w:hint="eastAsia"/>
          <w:color w:val="000000"/>
          <w:sz w:val="32"/>
          <w:szCs w:val="32"/>
        </w:rPr>
        <w:t>资管产品</w:t>
      </w:r>
      <w:proofErr w:type="gramEnd"/>
      <w:r>
        <w:rPr>
          <w:rFonts w:ascii="仿宋" w:eastAsia="仿宋" w:hAnsi="仿宋" w:cs="Times New Roman" w:hint="eastAsia"/>
          <w:color w:val="000000"/>
          <w:sz w:val="32"/>
          <w:szCs w:val="32"/>
        </w:rPr>
        <w:t>管理人每只产品或者机构自营）的申购金额上限为本期凭证计划名义本金金额。在申购时间以外提交的、申购费率在簿记区间以外的、申购金额超过本期凭证计划创设名义本金的任何形式的认购、要约或承诺均不属于有效申购要约。</w:t>
      </w:r>
    </w:p>
    <w:p w14:paraId="12F319C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具体销售安排如下：</w:t>
      </w:r>
    </w:p>
    <w:p w14:paraId="132FA80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（1）创设机构按照本创设说明书中的定价和配售方式先通过预配售的方式确定信用保护费费率和预配售名义本金金额，并做好书面记录和说明。</w:t>
      </w:r>
    </w:p>
    <w:p w14:paraId="264CEC4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a.定价方式。在本期凭证申购时间内足额募集或超额募集的，申购时间截止后，创设机构将全部有效申购要约按申购费率由高到低逐一排列，取</w:t>
      </w:r>
      <w:proofErr w:type="gramStart"/>
      <w:r>
        <w:rPr>
          <w:rFonts w:ascii="仿宋" w:eastAsia="仿宋" w:hAnsi="仿宋" w:cs="Times New Roman" w:hint="eastAsia"/>
          <w:color w:val="000000"/>
          <w:sz w:val="32"/>
          <w:szCs w:val="32"/>
        </w:rPr>
        <w:t>募满计划</w:t>
      </w:r>
      <w:proofErr w:type="gramEnd"/>
      <w:r>
        <w:rPr>
          <w:rFonts w:ascii="仿宋" w:eastAsia="仿宋" w:hAnsi="仿宋" w:cs="Times New Roman" w:hint="eastAsia"/>
          <w:color w:val="000000"/>
          <w:sz w:val="32"/>
          <w:szCs w:val="32"/>
        </w:rPr>
        <w:t>创设名义本金时对应的费率作为本期凭证信用保护费费率。若全部有效申购额小于计划创设名义本金，可缩减本期凭证名义本金，取投资者最低申购费率作为本期凭证信用保护费费率。</w:t>
      </w:r>
    </w:p>
    <w:p w14:paraId="701054C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b.配售方式。创设机构对本期凭证全部有效申购进行</w:t>
      </w:r>
      <w:r>
        <w:rPr>
          <w:rFonts w:ascii="仿宋" w:eastAsia="仿宋" w:hAnsi="仿宋" w:cs="Times New Roman" w:hint="eastAsia"/>
          <w:color w:val="000000"/>
          <w:sz w:val="32"/>
          <w:szCs w:val="32"/>
        </w:rPr>
        <w:lastRenderedPageBreak/>
        <w:t>配售，投资者的配售金额不超过其申购金额。</w:t>
      </w:r>
    </w:p>
    <w:p w14:paraId="3D92187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如簿记区间内的有效申购总金额低于或等于计划创设名义本金金额，原则上应对全部有效申购进行全额配售；</w:t>
      </w:r>
    </w:p>
    <w:p w14:paraId="28C228F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如簿记区间内的有效申购总金额超过计划创设名义本金金额，原则上应对本期凭证信用保护费费率以上的全部有效申购进行全额配售，对等于本期凭证信用保护费费率的有效申购按申购金额比例配售。</w:t>
      </w:r>
    </w:p>
    <w:p w14:paraId="3BAB208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（2）预配售结果确定后，创设机构向获得预配售的投资者发送预配售结果通知，通知相关投资者本期凭证信用保护费费率及其预配售名义本金金额，并在参考债务簿记建档结束前进行本期凭证预配售结果公告。</w:t>
      </w:r>
    </w:p>
    <w:p w14:paraId="2F0B410B"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2.正式配售安排</w:t>
      </w:r>
      <w:r>
        <w:rPr>
          <w:rFonts w:ascii="仿宋" w:eastAsia="仿宋" w:hAnsi="仿宋" w:cs="Times New Roman" w:hint="eastAsia"/>
          <w:color w:val="000000"/>
          <w:sz w:val="32"/>
          <w:szCs w:val="32"/>
          <w:vertAlign w:val="superscript"/>
        </w:rPr>
        <w:footnoteReference w:id="34"/>
      </w:r>
    </w:p>
    <w:p w14:paraId="5DCB1BB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上海清算所为本期凭证提供正式配售服务，对参考债务发行结果和本期凭证预配售结果进行匹配，匹配规则如下：</w:t>
      </w:r>
    </w:p>
    <w:p w14:paraId="53F2F15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（1）对于参考债务分销缴款结果高于或等于凭证预配售名义本金金额的，按照凭证预配售名义本金金额予以正式配售；</w:t>
      </w:r>
    </w:p>
    <w:p w14:paraId="2A21FA8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（2）对于参考债务分销缴款结果少于凭证预配售名义本金金额的，按照参考债务分销缴款结果予以正式配售。</w:t>
      </w:r>
    </w:p>
    <w:p w14:paraId="749548B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上海清算所对参考债务发行结果和本期凭证预配售结果进行匹配，并依据匹配后的正式配售结果进行凭证登记，信用保护原则上自本期凭证登记日起生效，信用保护费支</w:t>
      </w:r>
      <w:r>
        <w:rPr>
          <w:rFonts w:ascii="仿宋" w:eastAsia="仿宋" w:hAnsi="仿宋" w:cs="Times New Roman" w:hint="eastAsia"/>
          <w:color w:val="000000"/>
          <w:sz w:val="32"/>
          <w:szCs w:val="32"/>
        </w:rPr>
        <w:lastRenderedPageBreak/>
        <w:t>付不作为登记和信用保护生效的前提。本期凭证实际配售的名义本金金额以上海清算所登记结果为准。</w:t>
      </w:r>
    </w:p>
    <w:p w14:paraId="1E1454E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上海清算所将正式配售结果告知创设机构。创设机构向获得正式配售的投资者发送配售确认及信用保护费支付通知，通知正式配售名义本金金额以及其需要缴纳的信用保护费金额、付款日期、划款账户等信息。</w:t>
      </w:r>
    </w:p>
    <w:p w14:paraId="0D08E387"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（二）</w:t>
      </w:r>
      <w:r>
        <w:rPr>
          <w:rFonts w:ascii="仿宋" w:eastAsia="仿宋" w:hAnsi="仿宋" w:cs="Times New Roman" w:hint="eastAsia"/>
          <w:b/>
          <w:bCs/>
          <w:color w:val="000000"/>
          <w:sz w:val="32"/>
          <w:szCs w:val="32"/>
        </w:rPr>
        <w:t>适用</w:t>
      </w:r>
      <w:r>
        <w:rPr>
          <w:rFonts w:ascii="仿宋" w:eastAsia="仿宋" w:hAnsi="仿宋" w:cs="Times New Roman" w:hint="eastAsia"/>
          <w:b/>
          <w:color w:val="000000"/>
          <w:sz w:val="32"/>
          <w:szCs w:val="32"/>
        </w:rPr>
        <w:t>询价方式</w:t>
      </w:r>
      <w:r>
        <w:rPr>
          <w:rFonts w:ascii="仿宋" w:eastAsia="仿宋" w:hAnsi="仿宋" w:cs="Times New Roman"/>
          <w:b/>
          <w:color w:val="000000"/>
          <w:sz w:val="32"/>
          <w:szCs w:val="32"/>
          <w:vertAlign w:val="superscript"/>
        </w:rPr>
        <w:footnoteReference w:id="35"/>
      </w:r>
    </w:p>
    <w:p w14:paraId="290D76D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本期凭证采用固定费率【】%进行销售。创设机构按照本创设说明书中的配售方式确定配售名义本金金额，并做好书面记录和说明。</w:t>
      </w:r>
    </w:p>
    <w:p w14:paraId="0494731E"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本期凭证申购时间为【】年【】月【】日【】时至【】年【】月【】日【】时整，投资者应在申</w:t>
      </w:r>
      <w:proofErr w:type="gramStart"/>
      <w:r>
        <w:rPr>
          <w:rFonts w:ascii="仿宋" w:eastAsia="仿宋" w:hAnsi="仿宋" w:cs="Times New Roman" w:hint="eastAsia"/>
          <w:color w:val="000000"/>
          <w:sz w:val="32"/>
          <w:szCs w:val="32"/>
        </w:rPr>
        <w:t>购时间</w:t>
      </w:r>
      <w:proofErr w:type="gramEnd"/>
      <w:r>
        <w:rPr>
          <w:rFonts w:ascii="仿宋" w:eastAsia="仿宋" w:hAnsi="仿宋" w:cs="Times New Roman" w:hint="eastAsia"/>
          <w:color w:val="000000"/>
          <w:sz w:val="32"/>
          <w:szCs w:val="32"/>
        </w:rPr>
        <w:t>内通过创设机构指定的【】方式</w:t>
      </w:r>
      <w:r>
        <w:rPr>
          <w:rFonts w:ascii="仿宋" w:eastAsia="仿宋" w:hAnsi="仿宋" w:cs="Times New Roman"/>
          <w:color w:val="000000"/>
          <w:sz w:val="32"/>
          <w:szCs w:val="32"/>
          <w:vertAlign w:val="superscript"/>
        </w:rPr>
        <w:footnoteReference w:id="36"/>
      </w:r>
      <w:r>
        <w:rPr>
          <w:rFonts w:ascii="仿宋" w:eastAsia="仿宋" w:hAnsi="仿宋" w:cs="Times New Roman" w:hint="eastAsia"/>
          <w:color w:val="000000"/>
          <w:sz w:val="32"/>
          <w:szCs w:val="32"/>
        </w:rPr>
        <w:t>提交申购要约。单一投资者（</w:t>
      </w:r>
      <w:proofErr w:type="gramStart"/>
      <w:r>
        <w:rPr>
          <w:rFonts w:ascii="仿宋" w:eastAsia="仿宋" w:hAnsi="仿宋" w:cs="Times New Roman" w:hint="eastAsia"/>
          <w:color w:val="000000"/>
          <w:sz w:val="32"/>
          <w:szCs w:val="32"/>
        </w:rPr>
        <w:t>资管产品</w:t>
      </w:r>
      <w:proofErr w:type="gramEnd"/>
      <w:r>
        <w:rPr>
          <w:rFonts w:ascii="仿宋" w:eastAsia="仿宋" w:hAnsi="仿宋" w:cs="Times New Roman" w:hint="eastAsia"/>
          <w:color w:val="000000"/>
          <w:sz w:val="32"/>
          <w:szCs w:val="32"/>
        </w:rPr>
        <w:t>管理人每只产品或者机构自营）的申购金额上限为本期凭证计划名义本金金额。在申购时间以外提交的、申购费率在簿记区间以外的、申购金额超过本期凭证计划创设名义本金的任何形式的认购、要约或承诺均不属于有效申购要约。</w:t>
      </w:r>
    </w:p>
    <w:p w14:paraId="4E11000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配售安排如下：</w:t>
      </w:r>
    </w:p>
    <w:p w14:paraId="7D3B7E09"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1.如有效申购总金额低于或等于计划创设名义本金金额，原则上对全部有效申购进行全额配售；如有效申购总金额超过计划创设名义本金金额，原则上对有效申购按申</w:t>
      </w:r>
      <w:r>
        <w:rPr>
          <w:rFonts w:ascii="仿宋" w:eastAsia="仿宋" w:hAnsi="仿宋" w:cs="Times New Roman" w:hint="eastAsia"/>
          <w:color w:val="000000"/>
          <w:sz w:val="32"/>
          <w:szCs w:val="32"/>
        </w:rPr>
        <w:lastRenderedPageBreak/>
        <w:t>购金额比例进行配售。</w:t>
      </w:r>
    </w:p>
    <w:p w14:paraId="6E5F098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2.配售结果确定后，创设机构向获得配售的投资者发送配售结果通知，通知相关投资者本期凭证信用保护费费率及其配售名义本金金额。</w:t>
      </w:r>
    </w:p>
    <w:p w14:paraId="4EFCFCA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3.上海清算所依据配售结果进行凭证登记，本期凭证实际配售的名义本金金额以上海清算所登记结果为准。信用保护自本期凭证登记日起生效，信用保护费支付不作为登记和信用保护生效的前提。</w:t>
      </w:r>
    </w:p>
    <w:p w14:paraId="5A7625B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完成登记后，创设机构向获得配售的投资者发送配售确认及信用保护费支付通知，通知正式配售名义本金金额以及其需要缴纳的信用保护费金额、付款日期、划款账户等信息。</w:t>
      </w:r>
    </w:p>
    <w:p w14:paraId="01924936" w14:textId="77777777" w:rsidR="00D25E16" w:rsidRDefault="00D74D86">
      <w:pPr>
        <w:spacing w:line="560" w:lineRule="exact"/>
        <w:ind w:firstLineChars="200" w:firstLine="643"/>
        <w:rPr>
          <w:rFonts w:ascii="仿宋" w:eastAsia="仿宋" w:hAnsi="仿宋" w:cs="Times New Roman" w:hint="eastAsia"/>
          <w:b/>
          <w:bCs/>
          <w:color w:val="000000"/>
          <w:sz w:val="32"/>
          <w:szCs w:val="32"/>
        </w:rPr>
      </w:pPr>
      <w:r>
        <w:rPr>
          <w:rFonts w:ascii="仿宋" w:eastAsia="仿宋" w:hAnsi="仿宋" w:cs="Times New Roman" w:hint="eastAsia"/>
          <w:b/>
          <w:bCs/>
          <w:color w:val="000000"/>
          <w:sz w:val="32"/>
          <w:szCs w:val="32"/>
        </w:rPr>
        <w:t>（三）不予配售情况</w:t>
      </w:r>
    </w:p>
    <w:p w14:paraId="640F3AA9"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创设机构对拟配售对象的情况进行核查。对有下列情形之一的，经创设机构团队集体议定，不予配售：</w:t>
      </w:r>
    </w:p>
    <w:p w14:paraId="374A5F6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1.拟配售对象未完成信用风险缓释工具有关参与者备案；</w:t>
      </w:r>
    </w:p>
    <w:p w14:paraId="3B39E67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2.拟配售对象的名称、账户资料与其登记的不一致；</w:t>
      </w:r>
    </w:p>
    <w:p w14:paraId="374ABE4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3.拟配售对象近一年存在较为严重的违法违规记录或者违反诚信记录；</w:t>
      </w:r>
    </w:p>
    <w:p w14:paraId="49730808"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4.拟配售对象申购金额超过本期凭证计划创设金额；</w:t>
      </w:r>
    </w:p>
    <w:p w14:paraId="5D07EB0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5.拟配售对象未签署和备案《中国银行间市场金融衍生产品交易主协议（凭证特别版）》；</w:t>
      </w:r>
    </w:p>
    <w:p w14:paraId="13CF65E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6.其他可能影响本期凭证创设机构或其他投资者权益</w:t>
      </w:r>
      <w:r>
        <w:rPr>
          <w:rFonts w:ascii="仿宋" w:eastAsia="仿宋" w:hAnsi="仿宋" w:cs="Times New Roman" w:hint="eastAsia"/>
          <w:color w:val="000000"/>
          <w:sz w:val="32"/>
          <w:szCs w:val="32"/>
        </w:rPr>
        <w:lastRenderedPageBreak/>
        <w:t>的情形。</w:t>
      </w:r>
    </w:p>
    <w:p w14:paraId="1683F40E"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5F3680F8"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75" w:name="_Toc205973699"/>
      <w:r>
        <w:rPr>
          <w:rFonts w:ascii="仿宋" w:eastAsia="仿宋" w:hAnsi="仿宋" w:cs="Times New Roman" w:hint="eastAsia"/>
          <w:b/>
          <w:bCs/>
          <w:color w:val="000000"/>
          <w:sz w:val="32"/>
          <w:szCs w:val="32"/>
        </w:rPr>
        <w:t>三、凭证登记托管安排</w:t>
      </w:r>
      <w:bookmarkEnd w:id="75"/>
    </w:p>
    <w:p w14:paraId="48FE99A9"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本期凭证以实名记账方式创设，在上海清算所进行登记托管。</w:t>
      </w:r>
    </w:p>
    <w:p w14:paraId="6A59D3F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上海清算所作为本期凭证的登记托管机构，负责向创设机构和投资者提供有关服务。</w:t>
      </w:r>
    </w:p>
    <w:p w14:paraId="13268AD2"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48A86212"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76" w:name="_Toc205973700"/>
      <w:bookmarkStart w:id="77" w:name="_Toc29417"/>
      <w:bookmarkStart w:id="78" w:name="_Toc20417"/>
      <w:bookmarkStart w:id="79" w:name="_Toc530063606"/>
      <w:bookmarkStart w:id="80" w:name="_Toc25346"/>
      <w:bookmarkStart w:id="81" w:name="_Toc9053"/>
      <w:bookmarkStart w:id="82" w:name="_Toc12286"/>
      <w:r>
        <w:rPr>
          <w:rFonts w:ascii="仿宋" w:eastAsia="仿宋" w:hAnsi="仿宋" w:cs="Times New Roman" w:hint="eastAsia"/>
          <w:b/>
          <w:bCs/>
          <w:color w:val="000000"/>
          <w:sz w:val="32"/>
          <w:szCs w:val="32"/>
        </w:rPr>
        <w:t>四、信用保护费支付安排</w:t>
      </w:r>
      <w:bookmarkEnd w:id="76"/>
    </w:p>
    <w:p w14:paraId="7EC726D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本期凭证登记完成后，创设机构将向投资者发送《配售确认及信用保护费支付通知》。投资者收到《配售确认及信用保护费支付通知》后，如无疑义，应按该通知相关要求将信用保护</w:t>
      </w:r>
      <w:proofErr w:type="gramStart"/>
      <w:r>
        <w:rPr>
          <w:rFonts w:ascii="仿宋" w:eastAsia="仿宋" w:hAnsi="仿宋" w:cs="Times New Roman" w:hint="eastAsia"/>
          <w:color w:val="000000"/>
          <w:sz w:val="32"/>
          <w:szCs w:val="32"/>
        </w:rPr>
        <w:t>费划至以下</w:t>
      </w:r>
      <w:proofErr w:type="gramEnd"/>
      <w:r>
        <w:rPr>
          <w:rFonts w:ascii="仿宋" w:eastAsia="仿宋" w:hAnsi="仿宋" w:cs="Times New Roman" w:hint="eastAsia"/>
          <w:color w:val="000000"/>
          <w:sz w:val="32"/>
          <w:szCs w:val="32"/>
        </w:rPr>
        <w:t>指定账户：</w:t>
      </w:r>
    </w:p>
    <w:p w14:paraId="39296823"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color w:val="000000"/>
          <w:sz w:val="32"/>
          <w:szCs w:val="32"/>
        </w:rPr>
      </w:pPr>
      <w:bookmarkStart w:id="83" w:name="_Hlk521951758"/>
      <w:r>
        <w:rPr>
          <w:rFonts w:ascii="仿宋" w:eastAsia="仿宋" w:hAnsi="仿宋" w:cs="Times New Roman" w:hint="eastAsia"/>
          <w:color w:val="000000"/>
          <w:sz w:val="32"/>
          <w:szCs w:val="32"/>
        </w:rPr>
        <w:t>户名：</w:t>
      </w:r>
    </w:p>
    <w:p w14:paraId="048CC762"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开户行：</w:t>
      </w:r>
    </w:p>
    <w:p w14:paraId="27C9A4B7"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账号：</w:t>
      </w:r>
    </w:p>
    <w:p w14:paraId="7DC0B71A"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支付系统行号：</w:t>
      </w:r>
      <w:bookmarkEnd w:id="83"/>
    </w:p>
    <w:p w14:paraId="653D4A3E"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若投资者不能按时足额支付信用保护费，则视为违约，创设机构有权按照《中国银行间市场金融衍生产品交易主协议（凭证特别版）》有关约定，与未按时足额支付信用保护费的投资者提前终止交易，并注销相应份额。</w:t>
      </w:r>
    </w:p>
    <w:p w14:paraId="7B5618A4"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30FC4FE7"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84" w:name="_Toc2819"/>
      <w:bookmarkStart w:id="85" w:name="_Toc12552"/>
      <w:bookmarkStart w:id="86" w:name="_Toc24414"/>
      <w:bookmarkStart w:id="87" w:name="_Toc7324"/>
      <w:bookmarkStart w:id="88" w:name="_Toc530063608"/>
      <w:bookmarkStart w:id="89" w:name="_Toc20390"/>
      <w:bookmarkStart w:id="90" w:name="_Toc205973701"/>
      <w:bookmarkEnd w:id="77"/>
      <w:bookmarkEnd w:id="78"/>
      <w:bookmarkEnd w:id="79"/>
      <w:bookmarkEnd w:id="80"/>
      <w:bookmarkEnd w:id="81"/>
      <w:bookmarkEnd w:id="82"/>
      <w:r>
        <w:rPr>
          <w:rFonts w:ascii="仿宋" w:eastAsia="仿宋" w:hAnsi="仿宋" w:cs="Times New Roman" w:hint="eastAsia"/>
          <w:b/>
          <w:bCs/>
          <w:color w:val="000000"/>
          <w:sz w:val="32"/>
          <w:szCs w:val="32"/>
        </w:rPr>
        <w:t>五、凭证的交易</w:t>
      </w:r>
      <w:bookmarkEnd w:id="84"/>
      <w:bookmarkEnd w:id="85"/>
      <w:bookmarkEnd w:id="86"/>
      <w:bookmarkEnd w:id="87"/>
      <w:bookmarkEnd w:id="88"/>
      <w:bookmarkEnd w:id="89"/>
      <w:r>
        <w:rPr>
          <w:rFonts w:ascii="仿宋" w:eastAsia="仿宋" w:hAnsi="仿宋" w:cs="Times New Roman" w:hint="eastAsia"/>
          <w:b/>
          <w:bCs/>
          <w:color w:val="000000"/>
          <w:sz w:val="32"/>
          <w:szCs w:val="32"/>
        </w:rPr>
        <w:t>流通</w:t>
      </w:r>
      <w:bookmarkEnd w:id="90"/>
    </w:p>
    <w:p w14:paraId="5A92225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在完成本期凭证初始登记手续后的下一个营业日，创</w:t>
      </w:r>
      <w:r>
        <w:rPr>
          <w:rFonts w:ascii="仿宋" w:eastAsia="仿宋" w:hAnsi="仿宋" w:cs="Times New Roman" w:hint="eastAsia"/>
          <w:color w:val="000000"/>
          <w:sz w:val="32"/>
          <w:szCs w:val="32"/>
        </w:rPr>
        <w:lastRenderedPageBreak/>
        <w:t>设机构将披露本期凭证创设情况。本期凭证于该日起，在银行间市场交易流通</w:t>
      </w:r>
      <w:r>
        <w:rPr>
          <w:rFonts w:ascii="仿宋" w:eastAsia="仿宋" w:hAnsi="仿宋" w:cs="Times New Roman"/>
          <w:color w:val="000000"/>
          <w:sz w:val="32"/>
          <w:szCs w:val="32"/>
          <w:vertAlign w:val="superscript"/>
        </w:rPr>
        <w:footnoteReference w:id="37"/>
      </w:r>
      <w:r>
        <w:rPr>
          <w:rFonts w:ascii="仿宋" w:eastAsia="仿宋" w:hAnsi="仿宋" w:cs="Times New Roman" w:hint="eastAsia"/>
          <w:color w:val="000000"/>
          <w:sz w:val="32"/>
          <w:szCs w:val="32"/>
        </w:rPr>
        <w:t>。全国银行间同业拆借中心等中国人民银行认可的交易平台为本期凭证提供交易服务。</w:t>
      </w:r>
    </w:p>
    <w:p w14:paraId="333D34A2"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r>
        <w:rPr>
          <w:rFonts w:ascii="仿宋" w:eastAsia="仿宋" w:hAnsi="仿宋" w:cs="Times New Roman" w:hint="eastAsia"/>
          <w:color w:val="000000"/>
          <w:sz w:val="30"/>
          <w:szCs w:val="30"/>
        </w:rPr>
        <w:br w:type="page"/>
      </w:r>
      <w:bookmarkStart w:id="91" w:name="_Toc205973703"/>
      <w:bookmarkStart w:id="92" w:name="_Toc69077742"/>
      <w:r>
        <w:rPr>
          <w:rFonts w:ascii="仿宋" w:eastAsia="仿宋" w:hAnsi="仿宋" w:cs="Times New Roman" w:hint="eastAsia"/>
          <w:b/>
          <w:bCs/>
          <w:color w:val="000000"/>
          <w:kern w:val="44"/>
          <w:sz w:val="32"/>
          <w:szCs w:val="32"/>
        </w:rPr>
        <w:lastRenderedPageBreak/>
        <w:t>信息披露安排</w:t>
      </w:r>
      <w:bookmarkEnd w:id="91"/>
      <w:bookmarkEnd w:id="92"/>
    </w:p>
    <w:p w14:paraId="4E190570"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30F28AAE"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93" w:name="_Toc205973704"/>
      <w:bookmarkStart w:id="94" w:name="_Toc69077743"/>
      <w:r>
        <w:rPr>
          <w:rFonts w:ascii="仿宋" w:eastAsia="仿宋" w:hAnsi="仿宋" w:cs="Times New Roman" w:hint="eastAsia"/>
          <w:b/>
          <w:bCs/>
          <w:color w:val="000000"/>
          <w:sz w:val="32"/>
          <w:szCs w:val="32"/>
        </w:rPr>
        <w:t>一、创设信息披露</w:t>
      </w:r>
      <w:bookmarkEnd w:id="93"/>
      <w:bookmarkEnd w:id="94"/>
    </w:p>
    <w:p w14:paraId="63BF0BC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本期凭证创设披露文件包括本创设说明书、创设机构最近三年经审计的财务报告及最近一期半年度会计报表【、创设机构的主体信用评级报告】</w:t>
      </w:r>
      <w:r>
        <w:rPr>
          <w:rFonts w:ascii="仿宋" w:eastAsia="仿宋" w:hAnsi="仿宋" w:cs="Times New Roman" w:hint="eastAsia"/>
          <w:color w:val="000000"/>
          <w:sz w:val="32"/>
          <w:szCs w:val="32"/>
          <w:vertAlign w:val="superscript"/>
        </w:rPr>
        <w:footnoteReference w:id="38"/>
      </w:r>
      <w:r>
        <w:rPr>
          <w:rFonts w:ascii="仿宋" w:eastAsia="仿宋" w:hAnsi="仿宋" w:cs="Times New Roman" w:hint="eastAsia"/>
          <w:color w:val="000000"/>
          <w:sz w:val="32"/>
          <w:szCs w:val="32"/>
        </w:rPr>
        <w:t>。完成本期凭证登记手续后的次一个营业日，创设机构将披露创设结果。本期凭证最终创设金额为零的，也将披露创设情况公告。</w:t>
      </w:r>
    </w:p>
    <w:p w14:paraId="3332BD1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在本期凭证创设过程中，若创设机构变更价格区间或延长申购截止时间</w:t>
      </w:r>
      <w:r>
        <w:rPr>
          <w:rFonts w:ascii="仿宋" w:eastAsia="仿宋" w:hAnsi="仿宋" w:cs="Times New Roman"/>
          <w:color w:val="000000"/>
          <w:sz w:val="32"/>
          <w:szCs w:val="32"/>
          <w:vertAlign w:val="superscript"/>
        </w:rPr>
        <w:footnoteReference w:id="39"/>
      </w:r>
      <w:r>
        <w:rPr>
          <w:rFonts w:ascii="仿宋" w:eastAsia="仿宋" w:hAnsi="仿宋" w:cs="Times New Roman" w:hint="eastAsia"/>
          <w:color w:val="000000"/>
          <w:sz w:val="32"/>
          <w:szCs w:val="32"/>
        </w:rPr>
        <w:t>，在原申购时间截止一个小时前进行披露，通知所有已申购投资者，并做好相关记录。投资者可以在变更后的申购截止时间前撤回或者变更申购要约；未撤回或变更的，申购要约继续有效。</w:t>
      </w:r>
    </w:p>
    <w:p w14:paraId="3C8CC3E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本期凭证创设前，</w:t>
      </w:r>
      <w:proofErr w:type="gramStart"/>
      <w:r>
        <w:rPr>
          <w:rFonts w:ascii="仿宋" w:eastAsia="仿宋" w:hAnsi="仿宋" w:cs="Times New Roman" w:hint="eastAsia"/>
          <w:color w:val="000000"/>
          <w:sz w:val="32"/>
          <w:szCs w:val="32"/>
        </w:rPr>
        <w:t>若参</w:t>
      </w:r>
      <w:proofErr w:type="gramEnd"/>
      <w:r>
        <w:rPr>
          <w:rFonts w:ascii="仿宋" w:eastAsia="仿宋" w:hAnsi="仿宋" w:cs="Times New Roman" w:hint="eastAsia"/>
          <w:color w:val="000000"/>
          <w:sz w:val="32"/>
          <w:szCs w:val="32"/>
        </w:rPr>
        <w:t>考债务取消发行，创设机构可以取消本期凭证创设，并将取消创设事项及相关说明在原创</w:t>
      </w:r>
      <w:proofErr w:type="gramStart"/>
      <w:r>
        <w:rPr>
          <w:rFonts w:ascii="仿宋" w:eastAsia="仿宋" w:hAnsi="仿宋" w:cs="Times New Roman" w:hint="eastAsia"/>
          <w:color w:val="000000"/>
          <w:sz w:val="32"/>
          <w:szCs w:val="32"/>
        </w:rPr>
        <w:t>设日前</w:t>
      </w:r>
      <w:proofErr w:type="gramEnd"/>
      <w:r>
        <w:rPr>
          <w:rFonts w:ascii="仿宋" w:eastAsia="仿宋" w:hAnsi="仿宋" w:cs="Times New Roman" w:hint="eastAsia"/>
          <w:color w:val="000000"/>
          <w:sz w:val="32"/>
          <w:szCs w:val="32"/>
        </w:rPr>
        <w:t>进行披露</w:t>
      </w:r>
      <w:r>
        <w:rPr>
          <w:rFonts w:ascii="仿宋" w:eastAsia="仿宋" w:hAnsi="仿宋" w:cs="Times New Roman"/>
          <w:color w:val="000000"/>
          <w:sz w:val="32"/>
          <w:szCs w:val="32"/>
          <w:vertAlign w:val="superscript"/>
        </w:rPr>
        <w:footnoteReference w:id="40"/>
      </w:r>
      <w:r>
        <w:rPr>
          <w:rFonts w:ascii="仿宋" w:eastAsia="仿宋" w:hAnsi="仿宋" w:cs="Times New Roman" w:hint="eastAsia"/>
          <w:color w:val="000000"/>
          <w:sz w:val="32"/>
          <w:szCs w:val="32"/>
        </w:rPr>
        <w:t>。</w:t>
      </w:r>
    </w:p>
    <w:p w14:paraId="7F43E5EE"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AD8CF13"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95" w:name="_Toc69077744"/>
      <w:bookmarkStart w:id="96" w:name="_Toc205973705"/>
      <w:r>
        <w:rPr>
          <w:rFonts w:ascii="仿宋" w:eastAsia="仿宋" w:hAnsi="仿宋" w:cs="Times New Roman" w:hint="eastAsia"/>
          <w:b/>
          <w:bCs/>
          <w:color w:val="000000"/>
          <w:sz w:val="32"/>
          <w:szCs w:val="32"/>
        </w:rPr>
        <w:t>二、存续期定期披露</w:t>
      </w:r>
      <w:bookmarkEnd w:id="95"/>
      <w:bookmarkEnd w:id="96"/>
    </w:p>
    <w:p w14:paraId="1A8CF03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本期凭证存续期间内，创设机构将于每年4月30日之前披露上一年度的财务报告和审计报告，在每年8月31日</w:t>
      </w:r>
      <w:r>
        <w:rPr>
          <w:rFonts w:ascii="仿宋" w:eastAsia="仿宋" w:hAnsi="仿宋" w:cs="Times New Roman" w:hint="eastAsia"/>
          <w:color w:val="000000"/>
          <w:sz w:val="32"/>
          <w:szCs w:val="32"/>
        </w:rPr>
        <w:lastRenderedPageBreak/>
        <w:t>之前披露本年度上半年会计报表</w:t>
      </w:r>
      <w:r>
        <w:rPr>
          <w:rFonts w:ascii="仿宋" w:eastAsia="仿宋" w:hAnsi="仿宋" w:cs="Times New Roman" w:hint="eastAsia"/>
          <w:color w:val="000000"/>
          <w:sz w:val="32"/>
          <w:szCs w:val="32"/>
          <w:vertAlign w:val="superscript"/>
        </w:rPr>
        <w:footnoteReference w:id="41"/>
      </w:r>
      <w:r>
        <w:rPr>
          <w:rFonts w:ascii="仿宋" w:eastAsia="仿宋" w:hAnsi="仿宋" w:cs="Times New Roman" w:hint="eastAsia"/>
          <w:color w:val="000000"/>
          <w:sz w:val="32"/>
          <w:szCs w:val="32"/>
        </w:rPr>
        <w:t>。【创设机构在本期凭证存续期内需要披露跟踪主体信用评级报告的，将在相关主体评级报告出具后五个</w:t>
      </w:r>
      <w:r>
        <w:rPr>
          <w:rFonts w:ascii="仿宋" w:eastAsia="仿宋" w:hAnsi="仿宋" w:cs="Times New Roman"/>
          <w:color w:val="000000"/>
          <w:sz w:val="32"/>
          <w:szCs w:val="32"/>
        </w:rPr>
        <w:t>营业</w:t>
      </w:r>
      <w:r>
        <w:rPr>
          <w:rFonts w:ascii="仿宋" w:eastAsia="仿宋" w:hAnsi="仿宋" w:cs="Times New Roman" w:hint="eastAsia"/>
          <w:color w:val="000000"/>
          <w:sz w:val="32"/>
          <w:szCs w:val="32"/>
        </w:rPr>
        <w:t>日内完成披露。】</w:t>
      </w:r>
      <w:r>
        <w:rPr>
          <w:rFonts w:ascii="仿宋" w:eastAsia="仿宋" w:hAnsi="仿宋" w:cs="Times New Roman" w:hint="eastAsia"/>
          <w:color w:val="000000"/>
          <w:sz w:val="32"/>
          <w:szCs w:val="32"/>
          <w:vertAlign w:val="superscript"/>
        </w:rPr>
        <w:footnoteReference w:id="42"/>
      </w:r>
    </w:p>
    <w:p w14:paraId="2BE8E9AB"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2158FD9F"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97" w:name="_Toc205973706"/>
      <w:bookmarkStart w:id="98" w:name="_Toc69077745"/>
      <w:r>
        <w:rPr>
          <w:rFonts w:ascii="仿宋" w:eastAsia="仿宋" w:hAnsi="仿宋" w:cs="Times New Roman" w:hint="eastAsia"/>
          <w:b/>
          <w:bCs/>
          <w:color w:val="000000"/>
          <w:sz w:val="32"/>
          <w:szCs w:val="32"/>
        </w:rPr>
        <w:t>三、存续</w:t>
      </w:r>
      <w:proofErr w:type="gramStart"/>
      <w:r>
        <w:rPr>
          <w:rFonts w:ascii="仿宋" w:eastAsia="仿宋" w:hAnsi="仿宋" w:cs="Times New Roman" w:hint="eastAsia"/>
          <w:b/>
          <w:bCs/>
          <w:color w:val="000000"/>
          <w:sz w:val="32"/>
          <w:szCs w:val="32"/>
        </w:rPr>
        <w:t>期重大</w:t>
      </w:r>
      <w:proofErr w:type="gramEnd"/>
      <w:r>
        <w:rPr>
          <w:rFonts w:ascii="仿宋" w:eastAsia="仿宋" w:hAnsi="仿宋" w:cs="Times New Roman" w:hint="eastAsia"/>
          <w:b/>
          <w:bCs/>
          <w:color w:val="000000"/>
          <w:sz w:val="32"/>
          <w:szCs w:val="32"/>
        </w:rPr>
        <w:t>事项披露</w:t>
      </w:r>
      <w:bookmarkEnd w:id="97"/>
      <w:bookmarkEnd w:id="98"/>
    </w:p>
    <w:p w14:paraId="6E066E9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本期凭证存续期间，若发生可能影响创设机构偿付能力的重大事项，创设机构将在有关事项发生之日后</w:t>
      </w:r>
      <w:r>
        <w:rPr>
          <w:rFonts w:ascii="仿宋" w:eastAsia="仿宋" w:hAnsi="仿宋" w:cs="Times New Roman"/>
          <w:color w:val="000000"/>
          <w:sz w:val="32"/>
          <w:szCs w:val="32"/>
        </w:rPr>
        <w:t>一个营业</w:t>
      </w:r>
      <w:r>
        <w:rPr>
          <w:rFonts w:ascii="仿宋" w:eastAsia="仿宋" w:hAnsi="仿宋" w:cs="Times New Roman" w:hint="eastAsia"/>
          <w:color w:val="000000"/>
          <w:sz w:val="32"/>
          <w:szCs w:val="32"/>
        </w:rPr>
        <w:t>日内披露重大事项公告</w:t>
      </w:r>
      <w:r>
        <w:rPr>
          <w:rFonts w:ascii="仿宋" w:eastAsia="仿宋" w:hAnsi="仿宋" w:cs="Times New Roman" w:hint="eastAsia"/>
          <w:color w:val="000000"/>
          <w:sz w:val="32"/>
          <w:szCs w:val="32"/>
          <w:vertAlign w:val="superscript"/>
        </w:rPr>
        <w:footnoteReference w:id="43"/>
      </w:r>
      <w:r>
        <w:rPr>
          <w:rFonts w:ascii="仿宋" w:eastAsia="仿宋" w:hAnsi="仿宋" w:cs="Times New Roman" w:hint="eastAsia"/>
          <w:color w:val="000000"/>
          <w:sz w:val="32"/>
          <w:szCs w:val="32"/>
        </w:rPr>
        <w:t>，说明事件的起因、目前的状态和可能产生的法律后果。重大事项包括但不限于：</w:t>
      </w:r>
    </w:p>
    <w:p w14:paraId="07CD68AE"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（一）创设机构股权、经营权涉及被委托管理，或者控股股东或者实际控制人变更，</w:t>
      </w:r>
      <w:r>
        <w:rPr>
          <w:rFonts w:ascii="仿宋" w:eastAsia="仿宋" w:hAnsi="仿宋" w:cs="Times New Roman" w:hint="eastAsia"/>
          <w:kern w:val="0"/>
          <w:sz w:val="32"/>
          <w:szCs w:val="32"/>
        </w:rPr>
        <w:t>可能影响创设机构</w:t>
      </w:r>
      <w:r>
        <w:rPr>
          <w:rFonts w:ascii="仿宋" w:eastAsia="仿宋" w:hAnsi="仿宋" w:cs="Times New Roman" w:hint="eastAsia"/>
          <w:sz w:val="32"/>
          <w:szCs w:val="32"/>
        </w:rPr>
        <w:t>偿付</w:t>
      </w:r>
      <w:r>
        <w:rPr>
          <w:rFonts w:ascii="仿宋" w:eastAsia="仿宋" w:hAnsi="仿宋" w:cs="Times New Roman" w:hint="eastAsia"/>
          <w:kern w:val="0"/>
          <w:sz w:val="32"/>
          <w:szCs w:val="32"/>
        </w:rPr>
        <w:t>能力的</w:t>
      </w:r>
      <w:r>
        <w:rPr>
          <w:rFonts w:ascii="仿宋" w:eastAsia="仿宋" w:hAnsi="仿宋" w:cs="Times New Roman" w:hint="eastAsia"/>
          <w:sz w:val="32"/>
          <w:szCs w:val="32"/>
        </w:rPr>
        <w:t>；</w:t>
      </w:r>
    </w:p>
    <w:p w14:paraId="6E359C2C"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（二）创设机构法定代表人、董事长、总经理/行长或具有同等职责的人员无法履行职责，或者控股股东、实际控制人涉嫌犯罪被司法机关采取强制措施，</w:t>
      </w:r>
      <w:r>
        <w:rPr>
          <w:rFonts w:ascii="仿宋" w:eastAsia="仿宋" w:hAnsi="仿宋" w:cs="Times New Roman" w:hint="eastAsia"/>
          <w:kern w:val="0"/>
          <w:sz w:val="32"/>
          <w:szCs w:val="32"/>
        </w:rPr>
        <w:t>可能影响创设机构</w:t>
      </w:r>
      <w:r>
        <w:rPr>
          <w:rFonts w:ascii="仿宋" w:eastAsia="仿宋" w:hAnsi="仿宋" w:cs="Times New Roman" w:hint="eastAsia"/>
          <w:sz w:val="32"/>
          <w:szCs w:val="32"/>
        </w:rPr>
        <w:t>偿付</w:t>
      </w:r>
      <w:r>
        <w:rPr>
          <w:rFonts w:ascii="仿宋" w:eastAsia="仿宋" w:hAnsi="仿宋" w:cs="Times New Roman" w:hint="eastAsia"/>
          <w:kern w:val="0"/>
          <w:sz w:val="32"/>
          <w:szCs w:val="32"/>
        </w:rPr>
        <w:t>能力的</w:t>
      </w:r>
      <w:r>
        <w:rPr>
          <w:rFonts w:ascii="仿宋" w:eastAsia="仿宋" w:hAnsi="仿宋" w:cs="Times New Roman" w:hint="eastAsia"/>
          <w:sz w:val="32"/>
          <w:szCs w:val="32"/>
        </w:rPr>
        <w:t>；</w:t>
      </w:r>
    </w:p>
    <w:p w14:paraId="19B53055"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（三）创设机构经营状况发生重大变化，包括但不限于发生超过上年末净资产百分之十的重大损失；</w:t>
      </w:r>
    </w:p>
    <w:p w14:paraId="570BF988"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（四）创设机构</w:t>
      </w:r>
      <w:proofErr w:type="gramStart"/>
      <w:r>
        <w:rPr>
          <w:rFonts w:ascii="仿宋" w:eastAsia="仿宋" w:hAnsi="仿宋" w:cs="Times New Roman" w:hint="eastAsia"/>
          <w:sz w:val="32"/>
          <w:szCs w:val="32"/>
        </w:rPr>
        <w:t>作出</w:t>
      </w:r>
      <w:proofErr w:type="gramEnd"/>
      <w:r>
        <w:rPr>
          <w:rFonts w:ascii="仿宋" w:eastAsia="仿宋" w:hAnsi="仿宋" w:cs="Times New Roman" w:hint="eastAsia"/>
          <w:sz w:val="32"/>
          <w:szCs w:val="32"/>
        </w:rPr>
        <w:t>分立、解散及申请破产的决定，或者依法进入破产程序、被责令关闭；</w:t>
      </w:r>
    </w:p>
    <w:p w14:paraId="0170A948"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（五）创设机构未履行信用风险缓释工具交易项下对</w:t>
      </w:r>
      <w:r>
        <w:rPr>
          <w:rFonts w:ascii="仿宋" w:eastAsia="仿宋" w:hAnsi="仿宋" w:cs="Times New Roman" w:hint="eastAsia"/>
          <w:sz w:val="32"/>
          <w:szCs w:val="32"/>
        </w:rPr>
        <w:lastRenderedPageBreak/>
        <w:t>投资者的结算支付义务；</w:t>
      </w:r>
    </w:p>
    <w:p w14:paraId="5A1ADE96"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（六）创设说明书约定或创设机构承诺的其他应披露事项；以及其他可能影响创设机构偿付能力或本期凭证投资者权益的事项。</w:t>
      </w:r>
    </w:p>
    <w:p w14:paraId="53D9F982"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C45CD6F"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99" w:name="_Toc205973707"/>
      <w:r>
        <w:rPr>
          <w:rFonts w:ascii="仿宋" w:eastAsia="仿宋" w:hAnsi="仿宋" w:cs="Times New Roman" w:hint="eastAsia"/>
          <w:b/>
          <w:bCs/>
          <w:color w:val="000000"/>
          <w:sz w:val="32"/>
          <w:szCs w:val="32"/>
        </w:rPr>
        <w:t>四、提前注销的信息披露</w:t>
      </w:r>
      <w:bookmarkEnd w:id="99"/>
    </w:p>
    <w:p w14:paraId="4CE71A07"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本期凭证发生买入注销或者提前终止注销后，创设机构应在完成相关注销手续的次一营业日进行披露，包括信用风险缓释凭证注销金额、注销后存续金额等。</w:t>
      </w:r>
    </w:p>
    <w:p w14:paraId="58DE5E60"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5D76EED"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00" w:name="_Toc69077746"/>
      <w:bookmarkStart w:id="101" w:name="_Toc205973708"/>
      <w:r>
        <w:rPr>
          <w:rFonts w:ascii="仿宋" w:eastAsia="仿宋" w:hAnsi="仿宋" w:cs="Times New Roman" w:hint="eastAsia"/>
          <w:b/>
          <w:bCs/>
          <w:color w:val="000000"/>
          <w:sz w:val="32"/>
          <w:szCs w:val="32"/>
        </w:rPr>
        <w:t>五、信用事件触发的信息披露</w:t>
      </w:r>
      <w:bookmarkEnd w:id="100"/>
      <w:bookmarkEnd w:id="101"/>
    </w:p>
    <w:p w14:paraId="14C7631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信用事件发生后，创设机构将在信用事件确定日后一个营业日向投资者披露关于触发信用事件的公告，内容包括信用事件的说明、信用事件确定日的确认等。</w:t>
      </w:r>
    </w:p>
    <w:p w14:paraId="403095BC"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r>
        <w:rPr>
          <w:rFonts w:ascii="仿宋" w:eastAsia="仿宋" w:hAnsi="仿宋" w:cs="Times New Roman" w:hint="eastAsia"/>
          <w:color w:val="000000"/>
          <w:sz w:val="30"/>
          <w:szCs w:val="30"/>
        </w:rPr>
        <w:br w:type="page"/>
      </w:r>
      <w:bookmarkStart w:id="102" w:name="_Toc26648"/>
      <w:bookmarkStart w:id="103" w:name="_Toc69077747"/>
      <w:bookmarkStart w:id="104" w:name="_Toc530063610"/>
      <w:bookmarkStart w:id="105" w:name="_Toc205973709"/>
      <w:bookmarkStart w:id="106" w:name="_Toc14289"/>
      <w:bookmarkStart w:id="107" w:name="_Toc23390"/>
      <w:bookmarkStart w:id="108" w:name="_Toc13186"/>
      <w:bookmarkStart w:id="109" w:name="_Toc1265"/>
      <w:r>
        <w:rPr>
          <w:rFonts w:ascii="仿宋" w:eastAsia="仿宋" w:hAnsi="仿宋" w:cs="Times New Roman" w:hint="eastAsia"/>
          <w:b/>
          <w:bCs/>
          <w:color w:val="000000"/>
          <w:kern w:val="44"/>
          <w:sz w:val="32"/>
          <w:szCs w:val="32"/>
        </w:rPr>
        <w:lastRenderedPageBreak/>
        <w:t>创设机构基本情况</w:t>
      </w:r>
      <w:bookmarkEnd w:id="71"/>
      <w:bookmarkEnd w:id="72"/>
      <w:bookmarkEnd w:id="102"/>
      <w:bookmarkEnd w:id="103"/>
      <w:bookmarkEnd w:id="104"/>
      <w:bookmarkEnd w:id="105"/>
      <w:bookmarkEnd w:id="106"/>
      <w:bookmarkEnd w:id="107"/>
      <w:bookmarkEnd w:id="108"/>
      <w:bookmarkEnd w:id="109"/>
    </w:p>
    <w:p w14:paraId="22ED323A"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00ACA840" w14:textId="77777777" w:rsidR="00D25E16" w:rsidRDefault="00D74D86">
      <w:pPr>
        <w:keepNext/>
        <w:keepLines/>
        <w:spacing w:line="560" w:lineRule="exact"/>
        <w:ind w:firstLineChars="200" w:firstLine="643"/>
        <w:outlineLvl w:val="1"/>
        <w:rPr>
          <w:rFonts w:ascii="仿宋" w:eastAsia="仿宋" w:hAnsi="仿宋" w:cs="Times New Roman" w:hint="eastAsia"/>
          <w:bCs/>
          <w:color w:val="000000"/>
          <w:sz w:val="32"/>
          <w:szCs w:val="32"/>
        </w:rPr>
      </w:pPr>
      <w:bookmarkStart w:id="110" w:name="_Toc205973710"/>
      <w:bookmarkStart w:id="111" w:name="_Toc69077748"/>
      <w:r>
        <w:rPr>
          <w:rFonts w:ascii="仿宋" w:eastAsia="仿宋" w:hAnsi="仿宋" w:cs="Times New Roman" w:hint="eastAsia"/>
          <w:b/>
          <w:bCs/>
          <w:color w:val="000000"/>
          <w:sz w:val="32"/>
          <w:szCs w:val="32"/>
        </w:rPr>
        <w:t>一、创设机构基本情况</w:t>
      </w:r>
      <w:r>
        <w:rPr>
          <w:rFonts w:ascii="仿宋" w:eastAsia="仿宋" w:hAnsi="仿宋" w:cs="Times New Roman" w:hint="eastAsia"/>
          <w:b/>
          <w:bCs/>
          <w:color w:val="000000"/>
          <w:sz w:val="32"/>
          <w:szCs w:val="32"/>
          <w:vertAlign w:val="superscript"/>
        </w:rPr>
        <w:footnoteReference w:id="44"/>
      </w:r>
      <w:bookmarkEnd w:id="110"/>
      <w:bookmarkEnd w:id="111"/>
    </w:p>
    <w:p w14:paraId="7ABF562B" w14:textId="77777777" w:rsidR="00D25E16" w:rsidRDefault="00D74D86">
      <w:pPr>
        <w:keepNext/>
        <w:keepLines/>
        <w:spacing w:line="560" w:lineRule="exact"/>
        <w:ind w:firstLineChars="200" w:firstLine="643"/>
        <w:outlineLvl w:val="1"/>
        <w:rPr>
          <w:rFonts w:ascii="仿宋" w:eastAsia="仿宋" w:hAnsi="仿宋" w:cs="Times New Roman" w:hint="eastAsia"/>
          <w:bCs/>
          <w:color w:val="000000"/>
          <w:sz w:val="32"/>
          <w:szCs w:val="32"/>
        </w:rPr>
      </w:pPr>
      <w:bookmarkStart w:id="112" w:name="_Toc205973711"/>
      <w:bookmarkStart w:id="113" w:name="_Toc69077750"/>
      <w:r>
        <w:rPr>
          <w:rFonts w:ascii="仿宋" w:eastAsia="仿宋" w:hAnsi="仿宋" w:cs="Times New Roman" w:hint="eastAsia"/>
          <w:b/>
          <w:bCs/>
          <w:color w:val="000000"/>
          <w:sz w:val="32"/>
          <w:szCs w:val="32"/>
        </w:rPr>
        <w:t>二、创设机构信用情况</w:t>
      </w:r>
      <w:r>
        <w:rPr>
          <w:rFonts w:ascii="仿宋" w:eastAsia="仿宋" w:hAnsi="仿宋" w:cs="Times New Roman" w:hint="eastAsia"/>
          <w:b/>
          <w:bCs/>
          <w:color w:val="000000"/>
          <w:sz w:val="32"/>
          <w:szCs w:val="32"/>
          <w:vertAlign w:val="superscript"/>
        </w:rPr>
        <w:footnoteReference w:id="45"/>
      </w:r>
      <w:bookmarkEnd w:id="112"/>
      <w:bookmarkEnd w:id="113"/>
    </w:p>
    <w:p w14:paraId="1959B54C" w14:textId="77777777" w:rsidR="00D25E16" w:rsidRDefault="00D74D86">
      <w:pPr>
        <w:keepNext/>
        <w:keepLines/>
        <w:spacing w:line="560" w:lineRule="exact"/>
        <w:ind w:firstLineChars="200" w:firstLine="643"/>
        <w:outlineLvl w:val="1"/>
        <w:rPr>
          <w:rFonts w:ascii="仿宋" w:eastAsia="仿宋" w:hAnsi="仿宋" w:cs="Times New Roman" w:hint="eastAsia"/>
          <w:bCs/>
          <w:color w:val="000000"/>
          <w:sz w:val="32"/>
          <w:szCs w:val="32"/>
        </w:rPr>
      </w:pPr>
      <w:bookmarkStart w:id="114" w:name="_Toc69077754"/>
      <w:bookmarkStart w:id="115" w:name="_Toc205973712"/>
      <w:r>
        <w:rPr>
          <w:rFonts w:ascii="仿宋" w:eastAsia="仿宋" w:hAnsi="仿宋" w:cs="Times New Roman" w:hint="eastAsia"/>
          <w:b/>
          <w:bCs/>
          <w:color w:val="000000"/>
          <w:sz w:val="32"/>
          <w:szCs w:val="32"/>
        </w:rPr>
        <w:t>三、创设机构财务情况</w:t>
      </w:r>
      <w:r>
        <w:rPr>
          <w:rFonts w:ascii="仿宋" w:eastAsia="仿宋" w:hAnsi="仿宋" w:cs="Times New Roman" w:hint="eastAsia"/>
          <w:b/>
          <w:bCs/>
          <w:color w:val="000000"/>
          <w:sz w:val="32"/>
          <w:szCs w:val="32"/>
          <w:vertAlign w:val="superscript"/>
        </w:rPr>
        <w:footnoteReference w:id="46"/>
      </w:r>
      <w:bookmarkEnd w:id="114"/>
      <w:bookmarkEnd w:id="115"/>
    </w:p>
    <w:p w14:paraId="218CE56D" w14:textId="77777777" w:rsidR="00D25E16" w:rsidRDefault="00D74D86">
      <w:pPr>
        <w:keepNext/>
        <w:keepLines/>
        <w:spacing w:line="560" w:lineRule="exact"/>
        <w:ind w:firstLineChars="200" w:firstLine="643"/>
        <w:outlineLvl w:val="1"/>
        <w:rPr>
          <w:rFonts w:ascii="仿宋" w:eastAsia="仿宋" w:hAnsi="仿宋" w:cs="Times New Roman" w:hint="eastAsia"/>
          <w:bCs/>
          <w:color w:val="000000"/>
          <w:sz w:val="32"/>
          <w:szCs w:val="32"/>
        </w:rPr>
      </w:pPr>
      <w:bookmarkStart w:id="116" w:name="_Toc69077756"/>
      <w:bookmarkStart w:id="117" w:name="_Toc205973713"/>
      <w:r>
        <w:rPr>
          <w:rFonts w:ascii="仿宋" w:eastAsia="仿宋" w:hAnsi="仿宋" w:cs="Times New Roman" w:hint="eastAsia"/>
          <w:b/>
          <w:bCs/>
          <w:color w:val="000000"/>
          <w:sz w:val="32"/>
          <w:szCs w:val="32"/>
        </w:rPr>
        <w:t>四、创设机构合</w:t>
      </w:r>
      <w:proofErr w:type="gramStart"/>
      <w:r>
        <w:rPr>
          <w:rFonts w:ascii="仿宋" w:eastAsia="仿宋" w:hAnsi="仿宋" w:cs="Times New Roman" w:hint="eastAsia"/>
          <w:b/>
          <w:bCs/>
          <w:color w:val="000000"/>
          <w:sz w:val="32"/>
          <w:szCs w:val="32"/>
        </w:rPr>
        <w:t>规</w:t>
      </w:r>
      <w:proofErr w:type="gramEnd"/>
      <w:r>
        <w:rPr>
          <w:rFonts w:ascii="仿宋" w:eastAsia="仿宋" w:hAnsi="仿宋" w:cs="Times New Roman" w:hint="eastAsia"/>
          <w:b/>
          <w:bCs/>
          <w:color w:val="000000"/>
          <w:sz w:val="32"/>
          <w:szCs w:val="32"/>
        </w:rPr>
        <w:t>情况</w:t>
      </w:r>
      <w:r>
        <w:rPr>
          <w:rFonts w:ascii="仿宋" w:eastAsia="仿宋" w:hAnsi="仿宋" w:cs="Times New Roman" w:hint="eastAsia"/>
          <w:b/>
          <w:bCs/>
          <w:color w:val="000000"/>
          <w:sz w:val="32"/>
          <w:szCs w:val="32"/>
          <w:vertAlign w:val="superscript"/>
        </w:rPr>
        <w:footnoteReference w:id="47"/>
      </w:r>
      <w:bookmarkEnd w:id="116"/>
      <w:bookmarkEnd w:id="117"/>
    </w:p>
    <w:p w14:paraId="354A3EA5"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7C5214AF"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118" w:name="_Toc15008"/>
      <w:bookmarkStart w:id="119" w:name="_Toc31694"/>
      <w:bookmarkStart w:id="120" w:name="_Toc205973714"/>
      <w:bookmarkStart w:id="121" w:name="_Toc8334"/>
      <w:bookmarkStart w:id="122" w:name="_Toc23809"/>
      <w:bookmarkStart w:id="123" w:name="_Toc69077757"/>
      <w:bookmarkStart w:id="124" w:name="_Toc13721"/>
      <w:bookmarkStart w:id="125" w:name="_Toc530063611"/>
      <w:r>
        <w:rPr>
          <w:rFonts w:ascii="仿宋" w:eastAsia="仿宋" w:hAnsi="仿宋" w:cs="Times New Roman" w:hint="eastAsia"/>
          <w:b/>
          <w:bCs/>
          <w:color w:val="000000"/>
          <w:kern w:val="44"/>
          <w:sz w:val="32"/>
          <w:szCs w:val="32"/>
        </w:rPr>
        <w:t>参考实体及参考债务基本情况</w:t>
      </w:r>
      <w:bookmarkEnd w:id="118"/>
      <w:bookmarkEnd w:id="119"/>
      <w:bookmarkEnd w:id="120"/>
      <w:bookmarkEnd w:id="121"/>
      <w:bookmarkEnd w:id="122"/>
      <w:bookmarkEnd w:id="123"/>
      <w:bookmarkEnd w:id="124"/>
      <w:bookmarkEnd w:id="125"/>
    </w:p>
    <w:p w14:paraId="73F0681F"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8D7527D"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26" w:name="_Toc23510"/>
      <w:bookmarkStart w:id="127" w:name="_Toc26743"/>
      <w:bookmarkStart w:id="128" w:name="_Toc12961"/>
      <w:bookmarkStart w:id="129" w:name="_Toc468016939"/>
      <w:bookmarkStart w:id="130" w:name="_Toc467964284"/>
      <w:bookmarkStart w:id="131" w:name="_Toc18129"/>
      <w:bookmarkStart w:id="132" w:name="_Toc2924"/>
      <w:bookmarkStart w:id="133" w:name="_Toc530063612"/>
      <w:bookmarkStart w:id="134" w:name="_Toc205973715"/>
      <w:bookmarkStart w:id="135" w:name="_Toc69077758"/>
      <w:r>
        <w:rPr>
          <w:rFonts w:ascii="仿宋" w:eastAsia="仿宋" w:hAnsi="仿宋" w:cs="Times New Roman" w:hint="eastAsia"/>
          <w:b/>
          <w:bCs/>
          <w:color w:val="000000"/>
          <w:sz w:val="32"/>
          <w:szCs w:val="32"/>
        </w:rPr>
        <w:t>一、参考实体情况</w:t>
      </w:r>
      <w:bookmarkEnd w:id="126"/>
      <w:bookmarkEnd w:id="127"/>
      <w:bookmarkEnd w:id="128"/>
      <w:bookmarkEnd w:id="129"/>
      <w:bookmarkEnd w:id="130"/>
      <w:bookmarkEnd w:id="131"/>
      <w:bookmarkEnd w:id="132"/>
      <w:bookmarkEnd w:id="133"/>
      <w:r>
        <w:rPr>
          <w:rFonts w:ascii="仿宋" w:eastAsia="仿宋" w:hAnsi="仿宋" w:cs="Times New Roman" w:hint="eastAsia"/>
          <w:b/>
          <w:bCs/>
          <w:color w:val="000000"/>
          <w:sz w:val="32"/>
          <w:szCs w:val="32"/>
          <w:vertAlign w:val="superscript"/>
        </w:rPr>
        <w:footnoteReference w:id="48"/>
      </w:r>
      <w:bookmarkEnd w:id="134"/>
      <w:bookmarkEnd w:id="135"/>
    </w:p>
    <w:p w14:paraId="27846E89"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36" w:name="_Toc205973716"/>
      <w:r>
        <w:rPr>
          <w:rFonts w:ascii="仿宋" w:eastAsia="仿宋" w:hAnsi="仿宋" w:cs="Times New Roman" w:hint="eastAsia"/>
          <w:b/>
          <w:bCs/>
          <w:color w:val="000000"/>
          <w:sz w:val="32"/>
          <w:szCs w:val="32"/>
        </w:rPr>
        <w:t>二、债务种类</w:t>
      </w:r>
      <w:r>
        <w:rPr>
          <w:rFonts w:ascii="仿宋" w:eastAsia="仿宋" w:hAnsi="仿宋" w:cs="Times New Roman"/>
          <w:b/>
          <w:bCs/>
          <w:color w:val="000000"/>
          <w:sz w:val="32"/>
          <w:szCs w:val="32"/>
          <w:vertAlign w:val="superscript"/>
        </w:rPr>
        <w:footnoteReference w:id="49"/>
      </w:r>
      <w:bookmarkEnd w:id="136"/>
    </w:p>
    <w:p w14:paraId="1E91518B"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37" w:name="_Toc205973717"/>
      <w:r>
        <w:rPr>
          <w:rFonts w:ascii="仿宋" w:eastAsia="仿宋" w:hAnsi="仿宋" w:cs="Times New Roman" w:hint="eastAsia"/>
          <w:b/>
          <w:bCs/>
          <w:color w:val="000000"/>
          <w:sz w:val="32"/>
          <w:szCs w:val="32"/>
        </w:rPr>
        <w:t>三、债务特征</w:t>
      </w:r>
      <w:r>
        <w:rPr>
          <w:rFonts w:ascii="仿宋" w:eastAsia="仿宋" w:hAnsi="仿宋" w:cs="Times New Roman"/>
          <w:b/>
          <w:bCs/>
          <w:color w:val="000000"/>
          <w:sz w:val="32"/>
          <w:szCs w:val="32"/>
          <w:vertAlign w:val="superscript"/>
        </w:rPr>
        <w:footnoteReference w:id="50"/>
      </w:r>
      <w:bookmarkEnd w:id="137"/>
    </w:p>
    <w:p w14:paraId="47F1F7D2"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38" w:name="_Toc530063613"/>
      <w:bookmarkStart w:id="139" w:name="_Toc19261"/>
      <w:bookmarkStart w:id="140" w:name="_Toc3469"/>
      <w:bookmarkStart w:id="141" w:name="_Toc28042"/>
      <w:bookmarkStart w:id="142" w:name="_Toc14796"/>
      <w:bookmarkStart w:id="143" w:name="_Toc467964285"/>
      <w:bookmarkStart w:id="144" w:name="_Toc5494"/>
      <w:bookmarkStart w:id="145" w:name="_Toc468016940"/>
      <w:bookmarkStart w:id="146" w:name="_Toc69077759"/>
      <w:bookmarkStart w:id="147" w:name="_Toc205973718"/>
      <w:r>
        <w:rPr>
          <w:rFonts w:ascii="仿宋" w:eastAsia="仿宋" w:hAnsi="仿宋" w:cs="Times New Roman" w:hint="eastAsia"/>
          <w:b/>
          <w:bCs/>
          <w:color w:val="000000"/>
          <w:sz w:val="32"/>
          <w:szCs w:val="32"/>
        </w:rPr>
        <w:t>四、参考债务情况</w:t>
      </w:r>
      <w:bookmarkEnd w:id="138"/>
      <w:bookmarkEnd w:id="139"/>
      <w:bookmarkEnd w:id="140"/>
      <w:bookmarkEnd w:id="141"/>
      <w:bookmarkEnd w:id="142"/>
      <w:bookmarkEnd w:id="143"/>
      <w:bookmarkEnd w:id="144"/>
      <w:bookmarkEnd w:id="145"/>
      <w:r>
        <w:rPr>
          <w:rFonts w:ascii="仿宋" w:eastAsia="仿宋" w:hAnsi="仿宋" w:cs="Times New Roman" w:hint="eastAsia"/>
          <w:b/>
          <w:bCs/>
          <w:color w:val="000000"/>
          <w:sz w:val="32"/>
          <w:szCs w:val="32"/>
          <w:vertAlign w:val="superscript"/>
        </w:rPr>
        <w:footnoteReference w:id="51"/>
      </w:r>
      <w:bookmarkEnd w:id="146"/>
      <w:bookmarkEnd w:id="147"/>
    </w:p>
    <w:p w14:paraId="28BD0137"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75E47138"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148" w:name="_Toc205973719"/>
      <w:r>
        <w:rPr>
          <w:rFonts w:ascii="仿宋" w:eastAsia="仿宋" w:hAnsi="仿宋" w:cs="Times New Roman" w:hint="eastAsia"/>
          <w:b/>
          <w:bCs/>
          <w:color w:val="000000"/>
          <w:kern w:val="44"/>
          <w:sz w:val="32"/>
          <w:szCs w:val="32"/>
        </w:rPr>
        <w:lastRenderedPageBreak/>
        <w:t>提前终止</w:t>
      </w:r>
      <w:bookmarkEnd w:id="148"/>
    </w:p>
    <w:p w14:paraId="57D8742B"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25ED7528" w14:textId="77777777" w:rsidR="00D25E16" w:rsidRDefault="00D74D86">
      <w:pPr>
        <w:spacing w:line="560" w:lineRule="exact"/>
        <w:ind w:firstLineChars="200" w:firstLine="643"/>
        <w:rPr>
          <w:rFonts w:ascii="仿宋" w:eastAsia="仿宋" w:hAnsi="仿宋" w:cs="Times New Roman" w:hint="eastAsia"/>
          <w:b/>
          <w:bCs/>
          <w:color w:val="000000"/>
          <w:sz w:val="32"/>
          <w:szCs w:val="32"/>
        </w:rPr>
      </w:pPr>
      <w:r>
        <w:rPr>
          <w:rFonts w:ascii="仿宋" w:eastAsia="仿宋" w:hAnsi="仿宋" w:cs="Times New Roman" w:hint="eastAsia"/>
          <w:b/>
          <w:bCs/>
          <w:color w:val="000000"/>
          <w:sz w:val="32"/>
          <w:szCs w:val="32"/>
        </w:rPr>
        <w:t>一、创设机构买入注销</w:t>
      </w:r>
      <w:r>
        <w:rPr>
          <w:rFonts w:ascii="仿宋" w:eastAsia="仿宋" w:hAnsi="仿宋" w:cs="Times New Roman" w:hint="eastAsia"/>
          <w:b/>
          <w:bCs/>
          <w:color w:val="000000"/>
          <w:sz w:val="32"/>
          <w:szCs w:val="32"/>
          <w:vertAlign w:val="superscript"/>
        </w:rPr>
        <w:footnoteReference w:id="52"/>
      </w:r>
    </w:p>
    <w:p w14:paraId="21B449B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创设机构可向持有人买入本期凭证，登记托管机构于结算完成当日对相应凭证面额进行注销。创设机构买入本期凭证至完成注销前，不享有相应份额的持有人会议表决权等权利。</w:t>
      </w:r>
    </w:p>
    <w:p w14:paraId="1C7C9E37" w14:textId="77777777" w:rsidR="00D25E16" w:rsidRDefault="00D74D86">
      <w:pPr>
        <w:spacing w:line="560" w:lineRule="exact"/>
        <w:ind w:firstLineChars="200" w:firstLine="643"/>
        <w:jc w:val="left"/>
        <w:rPr>
          <w:rFonts w:ascii="仿宋" w:eastAsia="仿宋" w:hAnsi="仿宋" w:cs="Times New Roman" w:hint="eastAsia"/>
          <w:b/>
          <w:bCs/>
          <w:color w:val="000000"/>
          <w:sz w:val="32"/>
          <w:szCs w:val="32"/>
        </w:rPr>
      </w:pPr>
      <w:r>
        <w:rPr>
          <w:rFonts w:ascii="仿宋" w:eastAsia="仿宋" w:hAnsi="仿宋" w:cs="Times New Roman" w:hint="eastAsia"/>
          <w:b/>
          <w:bCs/>
          <w:color w:val="000000"/>
          <w:sz w:val="32"/>
          <w:szCs w:val="32"/>
        </w:rPr>
        <w:t>二、提前终止注销</w:t>
      </w:r>
      <w:r>
        <w:rPr>
          <w:rFonts w:ascii="仿宋" w:eastAsia="仿宋" w:hAnsi="仿宋" w:cs="Times New Roman" w:hint="eastAsia"/>
          <w:b/>
          <w:bCs/>
          <w:color w:val="000000"/>
          <w:sz w:val="32"/>
          <w:szCs w:val="32"/>
          <w:vertAlign w:val="superscript"/>
        </w:rPr>
        <w:footnoteReference w:id="53"/>
      </w:r>
    </w:p>
    <w:p w14:paraId="73CE685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创设机构可以与持有人协商并向登记托管机构申请提前终止注销本期凭证全部或部分份额。申请条件和流程应符合交易商协会和登记托管机构相关规则。</w:t>
      </w:r>
    </w:p>
    <w:p w14:paraId="5084B814" w14:textId="77777777" w:rsidR="00D25E16" w:rsidRDefault="00D74D86">
      <w:pPr>
        <w:spacing w:line="560" w:lineRule="exact"/>
        <w:ind w:firstLineChars="200" w:firstLine="640"/>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若本期凭证提前终止，本期凭证所约定的各项权利义务即届满终止，登记托管机构根据创设机构和投资者的申请办理注销。</w:t>
      </w:r>
    </w:p>
    <w:p w14:paraId="0E96AA37"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450CB661"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149" w:name="_Toc467964288"/>
      <w:bookmarkStart w:id="150" w:name="_Toc530063614"/>
      <w:bookmarkStart w:id="151" w:name="_Toc32633"/>
      <w:bookmarkStart w:id="152" w:name="_Toc26908"/>
      <w:bookmarkStart w:id="153" w:name="_Toc171"/>
      <w:bookmarkStart w:id="154" w:name="_Toc23052"/>
      <w:bookmarkStart w:id="155" w:name="_Toc8055"/>
      <w:bookmarkStart w:id="156" w:name="_Toc468016943"/>
      <w:bookmarkStart w:id="157" w:name="_Toc69077760"/>
      <w:bookmarkStart w:id="158" w:name="_Toc205973720"/>
      <w:r>
        <w:rPr>
          <w:rFonts w:ascii="仿宋" w:eastAsia="仿宋" w:hAnsi="仿宋" w:cs="Times New Roman" w:hint="eastAsia"/>
          <w:b/>
          <w:bCs/>
          <w:color w:val="000000"/>
          <w:kern w:val="44"/>
          <w:sz w:val="32"/>
          <w:szCs w:val="32"/>
        </w:rPr>
        <w:t>信用事件</w:t>
      </w:r>
      <w:bookmarkEnd w:id="149"/>
      <w:bookmarkEnd w:id="150"/>
      <w:bookmarkEnd w:id="151"/>
      <w:bookmarkEnd w:id="152"/>
      <w:bookmarkEnd w:id="153"/>
      <w:bookmarkEnd w:id="154"/>
      <w:bookmarkEnd w:id="155"/>
      <w:bookmarkEnd w:id="156"/>
      <w:r>
        <w:rPr>
          <w:rFonts w:ascii="仿宋" w:eastAsia="仿宋" w:hAnsi="仿宋" w:cs="Times New Roman" w:hint="eastAsia"/>
          <w:b/>
          <w:bCs/>
          <w:color w:val="000000"/>
          <w:kern w:val="44"/>
          <w:sz w:val="32"/>
          <w:szCs w:val="32"/>
        </w:rPr>
        <w:t>的类型及定义</w:t>
      </w:r>
      <w:bookmarkEnd w:id="157"/>
      <w:bookmarkEnd w:id="158"/>
    </w:p>
    <w:p w14:paraId="13BD7C23" w14:textId="77777777" w:rsidR="00D25E16" w:rsidRDefault="00D25E16">
      <w:pPr>
        <w:spacing w:line="560" w:lineRule="exact"/>
        <w:ind w:firstLineChars="200" w:firstLine="640"/>
        <w:rPr>
          <w:rFonts w:ascii="仿宋" w:eastAsia="仿宋" w:hAnsi="仿宋" w:cs="Times New Roman" w:hint="eastAsia"/>
          <w:color w:val="000000"/>
          <w:sz w:val="32"/>
          <w:szCs w:val="32"/>
        </w:rPr>
      </w:pPr>
      <w:bookmarkStart w:id="159" w:name="_Toc28130"/>
      <w:bookmarkStart w:id="160" w:name="_Toc20634"/>
      <w:bookmarkStart w:id="161" w:name="_Toc29265"/>
      <w:bookmarkStart w:id="162" w:name="_Toc5208"/>
      <w:bookmarkStart w:id="163" w:name="_Toc530063615"/>
      <w:bookmarkStart w:id="164" w:name="_Toc773"/>
      <w:bookmarkStart w:id="165" w:name="_Toc467964289"/>
      <w:bookmarkStart w:id="166" w:name="_Toc468016944"/>
    </w:p>
    <w:bookmarkEnd w:id="159"/>
    <w:bookmarkEnd w:id="160"/>
    <w:bookmarkEnd w:id="161"/>
    <w:bookmarkEnd w:id="162"/>
    <w:bookmarkEnd w:id="163"/>
    <w:bookmarkEnd w:id="164"/>
    <w:p w14:paraId="674FF679" w14:textId="77777777" w:rsidR="00D25E16" w:rsidRDefault="00D74D86">
      <w:pPr>
        <w:spacing w:line="560" w:lineRule="exact"/>
        <w:ind w:firstLineChars="200" w:firstLine="640"/>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w:t>
      </w:r>
      <w:bookmarkEnd w:id="165"/>
      <w:bookmarkEnd w:id="166"/>
      <w:r>
        <w:rPr>
          <w:rFonts w:ascii="仿宋" w:eastAsia="仿宋" w:hAnsi="仿宋" w:cs="Times New Roman" w:hint="eastAsia"/>
          <w:color w:val="000000"/>
          <w:sz w:val="32"/>
          <w:szCs w:val="32"/>
        </w:rPr>
        <w:t>适用以下一种或多种信用事件</w:t>
      </w:r>
      <w:r>
        <w:rPr>
          <w:rFonts w:ascii="仿宋" w:eastAsia="仿宋" w:hAnsi="仿宋" w:cs="Times New Roman" w:hint="eastAsia"/>
          <w:color w:val="000000"/>
          <w:sz w:val="32"/>
          <w:szCs w:val="32"/>
          <w:vertAlign w:val="superscript"/>
        </w:rPr>
        <w:footnoteReference w:id="54"/>
      </w:r>
      <w:r>
        <w:rPr>
          <w:rFonts w:ascii="仿宋" w:eastAsia="仿宋" w:hAnsi="仿宋" w:cs="Times New Roman" w:hint="eastAsia"/>
          <w:color w:val="000000"/>
          <w:sz w:val="32"/>
          <w:szCs w:val="32"/>
        </w:rPr>
        <w:t>：</w:t>
      </w:r>
    </w:p>
    <w:p w14:paraId="01AF5CC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一、破产</w:t>
      </w:r>
    </w:p>
    <w:p w14:paraId="3F87B39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二、支付违约</w:t>
      </w:r>
      <w:r>
        <w:rPr>
          <w:rFonts w:ascii="仿宋" w:eastAsia="仿宋" w:hAnsi="仿宋" w:cs="Times New Roman" w:hint="eastAsia"/>
          <w:color w:val="000000"/>
          <w:sz w:val="32"/>
          <w:szCs w:val="32"/>
          <w:vertAlign w:val="superscript"/>
        </w:rPr>
        <w:footnoteReference w:id="55"/>
      </w:r>
    </w:p>
    <w:p w14:paraId="540235A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lastRenderedPageBreak/>
        <w:t>三、债务重组</w:t>
      </w:r>
      <w:r>
        <w:rPr>
          <w:rFonts w:ascii="仿宋" w:eastAsia="仿宋" w:hAnsi="仿宋" w:cs="Times New Roman" w:hint="eastAsia"/>
          <w:color w:val="000000"/>
          <w:sz w:val="32"/>
          <w:szCs w:val="32"/>
          <w:vertAlign w:val="superscript"/>
        </w:rPr>
        <w:footnoteReference w:id="56"/>
      </w:r>
    </w:p>
    <w:p w14:paraId="73D1FBB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四、债务加速到期</w:t>
      </w:r>
      <w:r>
        <w:rPr>
          <w:rFonts w:ascii="仿宋" w:eastAsia="仿宋" w:hAnsi="仿宋" w:cs="Times New Roman" w:hint="eastAsia"/>
          <w:color w:val="000000"/>
          <w:sz w:val="32"/>
          <w:szCs w:val="32"/>
          <w:vertAlign w:val="superscript"/>
        </w:rPr>
        <w:footnoteReference w:id="57"/>
      </w:r>
    </w:p>
    <w:p w14:paraId="59B1D14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五、债务潜在加速到期</w:t>
      </w:r>
      <w:r>
        <w:rPr>
          <w:rFonts w:ascii="仿宋" w:eastAsia="仿宋" w:hAnsi="仿宋" w:cs="Times New Roman" w:hint="eastAsia"/>
          <w:color w:val="000000"/>
          <w:sz w:val="32"/>
          <w:szCs w:val="32"/>
          <w:vertAlign w:val="superscript"/>
        </w:rPr>
        <w:footnoteReference w:id="58"/>
      </w:r>
    </w:p>
    <w:p w14:paraId="15B757B5" w14:textId="77777777" w:rsidR="00D25E16" w:rsidRDefault="00D25E16">
      <w:pPr>
        <w:spacing w:line="560" w:lineRule="exact"/>
        <w:ind w:firstLineChars="200" w:firstLine="640"/>
        <w:rPr>
          <w:rFonts w:ascii="仿宋" w:eastAsia="仿宋" w:hAnsi="仿宋" w:cs="Times New Roman" w:hint="eastAsia"/>
          <w:color w:val="000000"/>
          <w:sz w:val="32"/>
          <w:szCs w:val="32"/>
        </w:rPr>
      </w:pPr>
      <w:bookmarkStart w:id="167" w:name="_Toc526524500"/>
      <w:bookmarkStart w:id="168" w:name="_Toc526524499"/>
      <w:bookmarkStart w:id="169" w:name="_Toc526524501"/>
      <w:bookmarkStart w:id="170" w:name="_Toc23776"/>
      <w:bookmarkStart w:id="171" w:name="_Toc11885"/>
      <w:bookmarkStart w:id="172" w:name="_Toc15257"/>
      <w:bookmarkStart w:id="173" w:name="_Toc15065"/>
      <w:bookmarkStart w:id="174" w:name="_Toc530063620"/>
      <w:bookmarkStart w:id="175" w:name="_Toc14046"/>
      <w:bookmarkEnd w:id="167"/>
      <w:bookmarkEnd w:id="168"/>
      <w:bookmarkEnd w:id="169"/>
    </w:p>
    <w:p w14:paraId="35AC8156"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176" w:name="_Toc205973721"/>
      <w:bookmarkStart w:id="177" w:name="_Toc69077761"/>
      <w:r>
        <w:rPr>
          <w:rFonts w:ascii="仿宋" w:eastAsia="仿宋" w:hAnsi="仿宋" w:cs="Times New Roman" w:hint="eastAsia"/>
          <w:b/>
          <w:bCs/>
          <w:color w:val="000000"/>
          <w:kern w:val="44"/>
          <w:sz w:val="32"/>
          <w:szCs w:val="32"/>
        </w:rPr>
        <w:t>结算安排</w:t>
      </w:r>
      <w:bookmarkEnd w:id="170"/>
      <w:bookmarkEnd w:id="171"/>
      <w:bookmarkEnd w:id="172"/>
      <w:bookmarkEnd w:id="173"/>
      <w:bookmarkEnd w:id="174"/>
      <w:bookmarkEnd w:id="175"/>
      <w:bookmarkEnd w:id="176"/>
      <w:bookmarkEnd w:id="177"/>
    </w:p>
    <w:p w14:paraId="35EA9E21" w14:textId="77777777" w:rsidR="00D25E16" w:rsidRDefault="00D25E16">
      <w:pPr>
        <w:spacing w:line="560" w:lineRule="exact"/>
        <w:ind w:firstLineChars="200" w:firstLine="640"/>
        <w:rPr>
          <w:rFonts w:ascii="仿宋" w:eastAsia="仿宋" w:hAnsi="仿宋" w:cs="Times New Roman" w:hint="eastAsia"/>
          <w:color w:val="000000"/>
          <w:sz w:val="32"/>
          <w:szCs w:val="32"/>
        </w:rPr>
      </w:pPr>
      <w:bookmarkStart w:id="178" w:name="_Toc530063621"/>
      <w:bookmarkStart w:id="179" w:name="_Toc1454"/>
      <w:bookmarkStart w:id="180" w:name="_Toc10643"/>
      <w:bookmarkStart w:id="181" w:name="_Toc25701"/>
      <w:bookmarkStart w:id="182" w:name="_Toc21185"/>
      <w:bookmarkStart w:id="183" w:name="_Toc28036"/>
      <w:bookmarkStart w:id="184" w:name="_Toc467964291"/>
      <w:bookmarkStart w:id="185" w:name="_Toc468016946"/>
    </w:p>
    <w:p w14:paraId="04C12252"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86" w:name="_Toc530063616"/>
      <w:bookmarkStart w:id="187" w:name="_Toc18811"/>
      <w:bookmarkStart w:id="188" w:name="_Toc32228"/>
      <w:bookmarkStart w:id="189" w:name="_Toc16503"/>
      <w:bookmarkStart w:id="190" w:name="_Toc7079"/>
      <w:bookmarkStart w:id="191" w:name="_Toc8477"/>
      <w:bookmarkStart w:id="192" w:name="_Toc69077764"/>
      <w:bookmarkStart w:id="193" w:name="_Toc205973722"/>
      <w:bookmarkEnd w:id="178"/>
      <w:bookmarkEnd w:id="179"/>
      <w:bookmarkEnd w:id="180"/>
      <w:bookmarkEnd w:id="181"/>
      <w:bookmarkEnd w:id="182"/>
      <w:bookmarkEnd w:id="183"/>
      <w:r>
        <w:rPr>
          <w:rFonts w:ascii="仿宋" w:eastAsia="仿宋" w:hAnsi="仿宋" w:cs="Times New Roman" w:hint="eastAsia"/>
          <w:b/>
          <w:bCs/>
          <w:color w:val="000000"/>
          <w:sz w:val="32"/>
          <w:szCs w:val="32"/>
        </w:rPr>
        <w:t>一、</w:t>
      </w:r>
      <w:bookmarkEnd w:id="186"/>
      <w:bookmarkEnd w:id="187"/>
      <w:bookmarkEnd w:id="188"/>
      <w:bookmarkEnd w:id="189"/>
      <w:bookmarkEnd w:id="190"/>
      <w:bookmarkEnd w:id="191"/>
      <w:r>
        <w:rPr>
          <w:rFonts w:ascii="仿宋" w:eastAsia="仿宋" w:hAnsi="仿宋" w:cs="Times New Roman" w:hint="eastAsia"/>
          <w:b/>
          <w:bCs/>
          <w:color w:val="000000"/>
          <w:sz w:val="32"/>
          <w:szCs w:val="32"/>
        </w:rPr>
        <w:t>结算条件</w:t>
      </w:r>
      <w:bookmarkEnd w:id="192"/>
      <w:bookmarkEnd w:id="193"/>
    </w:p>
    <w:p w14:paraId="004E5E76" w14:textId="77777777" w:rsidR="00D25E16" w:rsidRDefault="00D74D86">
      <w:pPr>
        <w:spacing w:line="560" w:lineRule="exact"/>
        <w:ind w:firstLineChars="200" w:firstLine="640"/>
        <w:rPr>
          <w:rFonts w:ascii="仿宋" w:eastAsia="仿宋" w:hAnsi="仿宋" w:cs="Times New Roman" w:hint="eastAsia"/>
          <w:bCs/>
          <w:color w:val="000000"/>
          <w:sz w:val="32"/>
          <w:szCs w:val="32"/>
        </w:rPr>
      </w:pPr>
      <w:r>
        <w:rPr>
          <w:rFonts w:ascii="仿宋" w:eastAsia="仿宋" w:hAnsi="仿宋" w:cs="Times New Roman" w:hint="eastAsia"/>
          <w:bCs/>
          <w:color w:val="000000"/>
          <w:sz w:val="32"/>
          <w:szCs w:val="32"/>
        </w:rPr>
        <w:t>对于任</w:t>
      </w:r>
      <w:proofErr w:type="gramStart"/>
      <w:r>
        <w:rPr>
          <w:rFonts w:ascii="仿宋" w:eastAsia="仿宋" w:hAnsi="仿宋" w:cs="Times New Roman" w:hint="eastAsia"/>
          <w:bCs/>
          <w:color w:val="000000"/>
          <w:sz w:val="32"/>
          <w:szCs w:val="32"/>
        </w:rPr>
        <w:t>一</w:t>
      </w:r>
      <w:proofErr w:type="gramEnd"/>
      <w:r>
        <w:rPr>
          <w:rFonts w:ascii="仿宋" w:eastAsia="仿宋" w:hAnsi="仿宋" w:cs="Times New Roman" w:hint="eastAsia"/>
          <w:bCs/>
          <w:color w:val="000000"/>
          <w:sz w:val="32"/>
          <w:szCs w:val="32"/>
        </w:rPr>
        <w:t>投资者，本期凭证结算条件为有效送达信用事件通知、公开信息通知</w:t>
      </w:r>
      <w:r>
        <w:rPr>
          <w:rFonts w:ascii="仿宋" w:eastAsia="仿宋" w:hAnsi="仿宋" w:cs="Times New Roman" w:hint="eastAsia"/>
          <w:color w:val="000000"/>
          <w:sz w:val="32"/>
          <w:szCs w:val="32"/>
          <w:vertAlign w:val="superscript"/>
        </w:rPr>
        <w:footnoteReference w:id="59"/>
      </w:r>
      <w:r>
        <w:rPr>
          <w:rFonts w:ascii="仿宋" w:eastAsia="仿宋" w:hAnsi="仿宋" w:cs="Times New Roman" w:hint="eastAsia"/>
          <w:bCs/>
          <w:color w:val="000000"/>
          <w:sz w:val="32"/>
          <w:szCs w:val="32"/>
        </w:rPr>
        <w:t>和实物交割通知</w:t>
      </w:r>
      <w:r>
        <w:rPr>
          <w:rFonts w:ascii="仿宋" w:eastAsia="仿宋" w:hAnsi="仿宋" w:cs="Times New Roman" w:hint="eastAsia"/>
          <w:color w:val="000000"/>
          <w:sz w:val="32"/>
          <w:szCs w:val="32"/>
          <w:vertAlign w:val="superscript"/>
        </w:rPr>
        <w:footnoteReference w:id="60"/>
      </w:r>
      <w:r>
        <w:rPr>
          <w:rFonts w:ascii="仿宋" w:eastAsia="仿宋" w:hAnsi="仿宋" w:cs="Times New Roman" w:hint="eastAsia"/>
          <w:bCs/>
          <w:color w:val="000000"/>
          <w:sz w:val="32"/>
          <w:szCs w:val="32"/>
        </w:rPr>
        <w:t>。</w:t>
      </w:r>
    </w:p>
    <w:p w14:paraId="598A90F5" w14:textId="77777777" w:rsidR="00D25E16" w:rsidRDefault="00D74D86">
      <w:pPr>
        <w:spacing w:line="560" w:lineRule="exact"/>
        <w:ind w:firstLineChars="200" w:firstLine="643"/>
        <w:rPr>
          <w:rFonts w:ascii="仿宋" w:eastAsia="仿宋" w:hAnsi="仿宋" w:cs="Times New Roman" w:hint="eastAsia"/>
          <w:b/>
          <w:bCs/>
          <w:color w:val="000000"/>
          <w:sz w:val="32"/>
          <w:szCs w:val="32"/>
        </w:rPr>
      </w:pPr>
      <w:bookmarkStart w:id="194" w:name="_Toc529696917"/>
      <w:bookmarkStart w:id="195" w:name="_Toc530063619"/>
      <w:bookmarkStart w:id="196" w:name="_Toc10923"/>
      <w:bookmarkStart w:id="197" w:name="_Toc21202"/>
      <w:bookmarkStart w:id="198" w:name="_Toc27394"/>
      <w:r>
        <w:rPr>
          <w:rFonts w:ascii="仿宋" w:eastAsia="仿宋" w:hAnsi="仿宋" w:cs="Times New Roman" w:hint="eastAsia"/>
          <w:b/>
          <w:bCs/>
          <w:color w:val="000000"/>
          <w:sz w:val="32"/>
          <w:szCs w:val="32"/>
        </w:rPr>
        <w:t>（一）信用事件通知</w:t>
      </w:r>
    </w:p>
    <w:p w14:paraId="33E7FAC5" w14:textId="77777777" w:rsidR="00D25E16" w:rsidRDefault="00D74D86">
      <w:pPr>
        <w:spacing w:line="560" w:lineRule="exact"/>
        <w:ind w:firstLineChars="200" w:firstLine="640"/>
        <w:rPr>
          <w:rFonts w:ascii="仿宋" w:eastAsia="仿宋" w:hAnsi="仿宋" w:cs="Times New Roman" w:hint="eastAsia"/>
          <w:bCs/>
          <w:color w:val="000000"/>
          <w:sz w:val="32"/>
          <w:szCs w:val="32"/>
        </w:rPr>
      </w:pPr>
      <w:r>
        <w:rPr>
          <w:rFonts w:ascii="仿宋" w:eastAsia="仿宋" w:hAnsi="仿宋" w:cs="Times New Roman" w:hint="eastAsia"/>
          <w:bCs/>
          <w:color w:val="000000"/>
          <w:sz w:val="32"/>
          <w:szCs w:val="32"/>
        </w:rPr>
        <w:t>本期凭证信用事件通知方为【】。</w:t>
      </w:r>
      <w:r>
        <w:rPr>
          <w:rFonts w:ascii="仿宋" w:eastAsia="仿宋" w:hAnsi="仿宋" w:cs="Times New Roman" w:hint="eastAsia"/>
          <w:color w:val="000000"/>
          <w:sz w:val="32"/>
          <w:szCs w:val="32"/>
          <w:vertAlign w:val="superscript"/>
        </w:rPr>
        <w:footnoteReference w:id="61"/>
      </w:r>
    </w:p>
    <w:p w14:paraId="658C31C7" w14:textId="77777777" w:rsidR="00D25E16" w:rsidRDefault="00D74D86">
      <w:pPr>
        <w:spacing w:line="560" w:lineRule="exact"/>
        <w:ind w:firstLineChars="200" w:firstLine="640"/>
        <w:rPr>
          <w:rFonts w:ascii="仿宋" w:eastAsia="仿宋" w:hAnsi="仿宋" w:cs="Times New Roman" w:hint="eastAsia"/>
          <w:bCs/>
          <w:color w:val="000000"/>
          <w:sz w:val="32"/>
          <w:szCs w:val="32"/>
        </w:rPr>
      </w:pPr>
      <w:r>
        <w:rPr>
          <w:rFonts w:ascii="仿宋" w:eastAsia="仿宋" w:hAnsi="仿宋" w:cs="Times New Roman" w:hint="eastAsia"/>
          <w:bCs/>
          <w:color w:val="000000"/>
          <w:sz w:val="32"/>
          <w:szCs w:val="32"/>
        </w:rPr>
        <w:t>本期凭证信用事件通知送达期</w:t>
      </w:r>
      <w:r>
        <w:rPr>
          <w:rFonts w:ascii="仿宋" w:eastAsia="仿宋" w:hAnsi="仿宋" w:cs="Times New Roman" w:hint="eastAsia"/>
          <w:b/>
          <w:bCs/>
          <w:color w:val="000000"/>
          <w:sz w:val="32"/>
          <w:szCs w:val="32"/>
        </w:rPr>
        <w:t>始于本期凭证信用保护起始日（含），止于本期凭证信用保护到期日之后的第十四个自然日（含）</w:t>
      </w:r>
      <w:r>
        <w:rPr>
          <w:rFonts w:ascii="仿宋" w:eastAsia="仿宋" w:hAnsi="仿宋" w:cs="Times New Roman" w:hint="eastAsia"/>
          <w:bCs/>
          <w:color w:val="000000"/>
          <w:sz w:val="32"/>
          <w:szCs w:val="32"/>
        </w:rPr>
        <w:t>。</w:t>
      </w:r>
      <w:r>
        <w:rPr>
          <w:rFonts w:ascii="仿宋" w:eastAsia="仿宋" w:hAnsi="仿宋" w:cs="Times New Roman" w:hint="eastAsia"/>
          <w:bCs/>
          <w:color w:val="000000"/>
          <w:sz w:val="32"/>
          <w:szCs w:val="32"/>
          <w:vertAlign w:val="superscript"/>
        </w:rPr>
        <w:footnoteReference w:id="62"/>
      </w:r>
    </w:p>
    <w:p w14:paraId="4E5E93CE" w14:textId="77777777" w:rsidR="00D25E16" w:rsidRDefault="00D74D86">
      <w:pPr>
        <w:spacing w:line="560" w:lineRule="exact"/>
        <w:ind w:firstLineChars="200" w:firstLine="643"/>
        <w:rPr>
          <w:rFonts w:ascii="仿宋" w:eastAsia="仿宋" w:hAnsi="仿宋" w:cs="Times New Roman" w:hint="eastAsia"/>
          <w:bCs/>
          <w:color w:val="000000"/>
          <w:sz w:val="32"/>
          <w:szCs w:val="32"/>
        </w:rPr>
      </w:pPr>
      <w:r>
        <w:rPr>
          <w:rFonts w:ascii="仿宋" w:eastAsia="仿宋" w:hAnsi="仿宋" w:cs="Times New Roman" w:hint="eastAsia"/>
          <w:b/>
          <w:color w:val="000000"/>
          <w:sz w:val="32"/>
          <w:szCs w:val="32"/>
        </w:rPr>
        <w:t>信用事件确定日为首份信用事件通知有效送达之日</w:t>
      </w:r>
      <w:r>
        <w:rPr>
          <w:rFonts w:ascii="仿宋" w:eastAsia="仿宋" w:hAnsi="仿宋" w:cs="Times New Roman" w:hint="eastAsia"/>
          <w:color w:val="000000"/>
          <w:sz w:val="32"/>
          <w:szCs w:val="32"/>
        </w:rPr>
        <w:t>。</w:t>
      </w:r>
      <w:r>
        <w:rPr>
          <w:rFonts w:ascii="仿宋" w:eastAsia="仿宋" w:hAnsi="仿宋" w:cs="Times New Roman" w:hint="eastAsia"/>
          <w:color w:val="000000"/>
          <w:sz w:val="32"/>
          <w:szCs w:val="32"/>
          <w:vertAlign w:val="superscript"/>
        </w:rPr>
        <w:footnoteReference w:id="63"/>
      </w:r>
      <w:r>
        <w:rPr>
          <w:rFonts w:ascii="仿宋" w:eastAsia="仿宋" w:hAnsi="仿宋" w:cs="Times New Roman" w:hint="eastAsia"/>
          <w:color w:val="000000"/>
          <w:sz w:val="32"/>
          <w:szCs w:val="32"/>
        </w:rPr>
        <w:t>创设机构将在信用事件确定日后一个营业日内向本期凭证投资者披露关于触发信用事件的公告或通知，内容包括信用事件的说明、信用事件确定日的确认等。信用事件通知送达时间晚于该公告或通知载明的信用事件确定日的，以</w:t>
      </w:r>
      <w:r>
        <w:rPr>
          <w:rFonts w:ascii="仿宋" w:eastAsia="仿宋" w:hAnsi="仿宋" w:cs="Times New Roman" w:hint="eastAsia"/>
          <w:color w:val="000000"/>
          <w:sz w:val="32"/>
          <w:szCs w:val="32"/>
        </w:rPr>
        <w:lastRenderedPageBreak/>
        <w:t>该公告或通知载明的信用事件确定日为准。</w:t>
      </w:r>
      <w:r>
        <w:rPr>
          <w:rFonts w:ascii="仿宋" w:eastAsia="仿宋" w:hAnsi="仿宋" w:cs="Times New Roman" w:hint="eastAsia"/>
          <w:b/>
          <w:color w:val="000000"/>
          <w:sz w:val="32"/>
          <w:szCs w:val="32"/>
        </w:rPr>
        <w:t>投资者收到该公告或通知后，可不再向创设机构发送信用事件通知。</w:t>
      </w:r>
    </w:p>
    <w:p w14:paraId="1D5930FC" w14:textId="77777777" w:rsidR="00D25E16" w:rsidRDefault="00D74D86">
      <w:pPr>
        <w:spacing w:line="560" w:lineRule="exact"/>
        <w:ind w:firstLineChars="200" w:firstLine="643"/>
        <w:rPr>
          <w:rFonts w:ascii="仿宋" w:eastAsia="仿宋" w:hAnsi="仿宋" w:cs="Times New Roman" w:hint="eastAsia"/>
          <w:b/>
          <w:bCs/>
          <w:color w:val="000000"/>
          <w:sz w:val="32"/>
          <w:szCs w:val="32"/>
        </w:rPr>
      </w:pPr>
      <w:r>
        <w:rPr>
          <w:rFonts w:ascii="仿宋" w:eastAsia="仿宋" w:hAnsi="仿宋" w:cs="Times New Roman" w:hint="eastAsia"/>
          <w:b/>
          <w:bCs/>
          <w:color w:val="000000"/>
          <w:sz w:val="32"/>
          <w:szCs w:val="32"/>
        </w:rPr>
        <w:t>（二）公开信息通知</w:t>
      </w:r>
      <w:r>
        <w:rPr>
          <w:rFonts w:ascii="仿宋" w:eastAsia="仿宋" w:hAnsi="仿宋" w:cs="Times New Roman" w:hint="eastAsia"/>
          <w:color w:val="000000"/>
          <w:sz w:val="32"/>
          <w:szCs w:val="32"/>
          <w:vertAlign w:val="superscript"/>
        </w:rPr>
        <w:footnoteReference w:id="64"/>
      </w:r>
      <w:bookmarkEnd w:id="194"/>
      <w:bookmarkEnd w:id="195"/>
      <w:bookmarkEnd w:id="196"/>
      <w:bookmarkEnd w:id="197"/>
      <w:bookmarkEnd w:id="198"/>
    </w:p>
    <w:p w14:paraId="01B903A6" w14:textId="77777777" w:rsidR="00D25E16" w:rsidRDefault="00D74D86">
      <w:pPr>
        <w:spacing w:line="560" w:lineRule="exact"/>
        <w:ind w:firstLineChars="200" w:firstLine="640"/>
        <w:rPr>
          <w:rFonts w:ascii="仿宋" w:eastAsia="仿宋" w:hAnsi="仿宋" w:cs="Times New Roman" w:hint="eastAsia"/>
          <w:bCs/>
          <w:color w:val="000000"/>
          <w:sz w:val="32"/>
          <w:szCs w:val="32"/>
        </w:rPr>
      </w:pPr>
      <w:r>
        <w:rPr>
          <w:rFonts w:ascii="仿宋" w:eastAsia="仿宋" w:hAnsi="仿宋" w:cs="Times New Roman" w:hint="eastAsia"/>
          <w:bCs/>
          <w:color w:val="000000"/>
          <w:sz w:val="32"/>
          <w:szCs w:val="32"/>
        </w:rPr>
        <w:t>本期凭证适用公开信息通知。</w:t>
      </w:r>
    </w:p>
    <w:p w14:paraId="31CDB173" w14:textId="77777777" w:rsidR="00D25E16" w:rsidRDefault="00D74D86">
      <w:pPr>
        <w:spacing w:line="560" w:lineRule="exact"/>
        <w:ind w:firstLineChars="200" w:firstLine="643"/>
        <w:rPr>
          <w:rFonts w:ascii="仿宋" w:eastAsia="仿宋" w:hAnsi="仿宋" w:cs="Times New Roman" w:hint="eastAsia"/>
          <w:b/>
          <w:bCs/>
          <w:color w:val="000000"/>
          <w:sz w:val="32"/>
          <w:szCs w:val="32"/>
        </w:rPr>
      </w:pPr>
      <w:r>
        <w:rPr>
          <w:rFonts w:ascii="仿宋" w:eastAsia="仿宋" w:hAnsi="仿宋" w:cs="Times New Roman" w:hint="eastAsia"/>
          <w:b/>
          <w:bCs/>
          <w:color w:val="000000"/>
          <w:sz w:val="32"/>
          <w:szCs w:val="32"/>
        </w:rPr>
        <w:t>（三）实物交割通知</w:t>
      </w:r>
      <w:r>
        <w:rPr>
          <w:rFonts w:ascii="仿宋" w:eastAsia="仿宋" w:hAnsi="仿宋" w:cs="Times New Roman" w:hint="eastAsia"/>
          <w:color w:val="000000"/>
          <w:sz w:val="32"/>
          <w:szCs w:val="32"/>
          <w:vertAlign w:val="superscript"/>
        </w:rPr>
        <w:footnoteReference w:id="65"/>
      </w:r>
    </w:p>
    <w:p w14:paraId="3B1D60D2" w14:textId="77777777" w:rsidR="00D25E16" w:rsidRDefault="00D74D86">
      <w:pPr>
        <w:spacing w:line="560" w:lineRule="exact"/>
        <w:ind w:firstLineChars="200" w:firstLine="640"/>
        <w:rPr>
          <w:rFonts w:ascii="仿宋" w:eastAsia="仿宋" w:hAnsi="仿宋" w:cs="Times New Roman" w:hint="eastAsia"/>
          <w:bCs/>
          <w:color w:val="000000"/>
          <w:sz w:val="32"/>
          <w:szCs w:val="32"/>
        </w:rPr>
      </w:pPr>
      <w:r>
        <w:rPr>
          <w:rFonts w:ascii="仿宋" w:eastAsia="仿宋" w:hAnsi="仿宋" w:cs="Times New Roman" w:hint="eastAsia"/>
          <w:bCs/>
          <w:color w:val="000000"/>
          <w:sz w:val="32"/>
          <w:szCs w:val="32"/>
        </w:rPr>
        <w:t>本期凭证适用实物交割通知。</w:t>
      </w:r>
    </w:p>
    <w:p w14:paraId="7118332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实物交割通知应</w:t>
      </w:r>
      <w:r>
        <w:rPr>
          <w:rFonts w:ascii="仿宋" w:eastAsia="仿宋" w:hAnsi="仿宋" w:cs="Times New Roman" w:hint="eastAsia"/>
          <w:b/>
          <w:color w:val="000000"/>
          <w:sz w:val="32"/>
          <w:szCs w:val="32"/>
        </w:rPr>
        <w:t>在信用事件确定日后三十个自然日内</w:t>
      </w:r>
      <w:r>
        <w:rPr>
          <w:rFonts w:ascii="仿宋" w:eastAsia="仿宋" w:hAnsi="仿宋" w:cs="Times New Roman" w:hint="eastAsia"/>
          <w:b/>
          <w:color w:val="000000"/>
          <w:sz w:val="32"/>
          <w:szCs w:val="32"/>
          <w:vertAlign w:val="superscript"/>
        </w:rPr>
        <w:footnoteReference w:id="66"/>
      </w:r>
      <w:r>
        <w:rPr>
          <w:rFonts w:ascii="仿宋" w:eastAsia="仿宋" w:hAnsi="仿宋" w:cs="Times New Roman" w:hint="eastAsia"/>
          <w:color w:val="000000"/>
          <w:sz w:val="32"/>
          <w:szCs w:val="32"/>
        </w:rPr>
        <w:t>有效送达创设机构，否则自该第三十个自然日起创设机构可不再向未有效送达实物交割通知的投资者履行结算义务。</w:t>
      </w:r>
      <w:r>
        <w:rPr>
          <w:rFonts w:ascii="仿宋" w:eastAsia="仿宋" w:hAnsi="仿宋" w:cs="Times New Roman" w:hint="eastAsia"/>
          <w:b/>
          <w:color w:val="000000"/>
          <w:sz w:val="32"/>
          <w:szCs w:val="32"/>
        </w:rPr>
        <w:t>实物交割通知送达之日为结算条件满足之日。</w:t>
      </w:r>
      <w:r>
        <w:rPr>
          <w:rFonts w:ascii="仿宋" w:eastAsia="仿宋" w:hAnsi="仿宋" w:cs="Times New Roman" w:hint="eastAsia"/>
          <w:color w:val="000000"/>
          <w:sz w:val="32"/>
          <w:szCs w:val="32"/>
        </w:rPr>
        <w:t>实物交割通知应包含用于结算的可交付债务的具体信息、交割方式、交割地点、是否需要第三方同意以及是否已获得第三方同意、是否需要另一方的配合等内容。</w:t>
      </w:r>
    </w:p>
    <w:p w14:paraId="48702BD9"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124F1042"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199" w:name="_Toc205973723"/>
      <w:bookmarkStart w:id="200" w:name="_Toc69077765"/>
      <w:bookmarkStart w:id="201" w:name="_Toc24703"/>
      <w:bookmarkStart w:id="202" w:name="_Toc19585"/>
      <w:bookmarkStart w:id="203" w:name="_Toc8239"/>
      <w:bookmarkStart w:id="204" w:name="_Toc22801"/>
      <w:bookmarkStart w:id="205" w:name="_Toc4889"/>
      <w:bookmarkStart w:id="206" w:name="_Toc530063622"/>
      <w:r>
        <w:rPr>
          <w:rFonts w:ascii="仿宋" w:eastAsia="仿宋" w:hAnsi="仿宋" w:cs="Times New Roman" w:hint="eastAsia"/>
          <w:b/>
          <w:bCs/>
          <w:color w:val="000000"/>
          <w:sz w:val="32"/>
          <w:szCs w:val="32"/>
        </w:rPr>
        <w:t>二、结算方式</w:t>
      </w:r>
      <w:r>
        <w:rPr>
          <w:rFonts w:ascii="仿宋" w:eastAsia="仿宋" w:hAnsi="仿宋" w:cs="Times New Roman" w:hint="eastAsia"/>
          <w:b/>
          <w:bCs/>
          <w:color w:val="000000"/>
          <w:sz w:val="32"/>
          <w:szCs w:val="32"/>
          <w:vertAlign w:val="superscript"/>
        </w:rPr>
        <w:footnoteReference w:id="67"/>
      </w:r>
      <w:bookmarkEnd w:id="199"/>
      <w:bookmarkEnd w:id="200"/>
    </w:p>
    <w:p w14:paraId="7E2F6114" w14:textId="77777777" w:rsidR="00D25E16" w:rsidRDefault="00D25E16">
      <w:pPr>
        <w:spacing w:line="560" w:lineRule="exact"/>
        <w:ind w:firstLineChars="200" w:firstLine="643"/>
        <w:rPr>
          <w:rFonts w:ascii="仿宋" w:eastAsia="仿宋" w:hAnsi="仿宋" w:cs="Times New Roman" w:hint="eastAsia"/>
          <w:b/>
          <w:color w:val="000000"/>
          <w:sz w:val="32"/>
          <w:szCs w:val="32"/>
        </w:rPr>
      </w:pPr>
    </w:p>
    <w:p w14:paraId="7AAC49CD"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07" w:name="_Toc69077766"/>
      <w:bookmarkStart w:id="208" w:name="_Toc205973724"/>
      <w:r>
        <w:rPr>
          <w:rFonts w:ascii="仿宋" w:eastAsia="仿宋" w:hAnsi="仿宋" w:cs="Times New Roman" w:hint="eastAsia"/>
          <w:b/>
          <w:bCs/>
          <w:color w:val="000000"/>
          <w:sz w:val="32"/>
          <w:szCs w:val="32"/>
        </w:rPr>
        <w:t>三、发生信用事件后的结算安排</w:t>
      </w:r>
      <w:bookmarkEnd w:id="201"/>
      <w:bookmarkEnd w:id="202"/>
      <w:bookmarkEnd w:id="203"/>
      <w:bookmarkEnd w:id="204"/>
      <w:bookmarkEnd w:id="205"/>
      <w:bookmarkEnd w:id="206"/>
      <w:r>
        <w:rPr>
          <w:rFonts w:ascii="仿宋" w:eastAsia="仿宋" w:hAnsi="仿宋" w:cs="Times New Roman" w:hint="eastAsia"/>
          <w:b/>
          <w:bCs/>
          <w:color w:val="000000"/>
          <w:sz w:val="32"/>
          <w:szCs w:val="32"/>
          <w:vertAlign w:val="superscript"/>
        </w:rPr>
        <w:footnoteReference w:id="68"/>
      </w:r>
      <w:bookmarkEnd w:id="207"/>
      <w:bookmarkEnd w:id="208"/>
    </w:p>
    <w:bookmarkEnd w:id="184"/>
    <w:bookmarkEnd w:id="185"/>
    <w:p w14:paraId="3E984252" w14:textId="77777777" w:rsidR="00D25E16" w:rsidRDefault="00D74D86">
      <w:pPr>
        <w:widowControl/>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（一）适用实物结算</w:t>
      </w:r>
    </w:p>
    <w:p w14:paraId="72351F9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本期凭证的可交付债务为【参考债务】</w:t>
      </w:r>
      <w:r>
        <w:rPr>
          <w:rFonts w:ascii="仿宋" w:eastAsia="仿宋" w:hAnsi="仿宋" w:cs="Times New Roman"/>
          <w:color w:val="000000"/>
          <w:sz w:val="32"/>
          <w:szCs w:val="32"/>
          <w:vertAlign w:val="superscript"/>
        </w:rPr>
        <w:footnoteReference w:id="69"/>
      </w:r>
      <w:r>
        <w:rPr>
          <w:rFonts w:ascii="仿宋" w:eastAsia="仿宋" w:hAnsi="仿宋" w:cs="Times New Roman" w:hint="eastAsia"/>
          <w:color w:val="000000"/>
          <w:sz w:val="32"/>
          <w:szCs w:val="32"/>
        </w:rPr>
        <w:t>。</w:t>
      </w:r>
    </w:p>
    <w:p w14:paraId="7B0937C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实物结算日由投资者在实物交割通知中指定，在结算条件满足之日后的【】</w:t>
      </w:r>
      <w:proofErr w:type="gramStart"/>
      <w:r>
        <w:rPr>
          <w:rFonts w:ascii="仿宋" w:eastAsia="仿宋" w:hAnsi="仿宋" w:cs="Times New Roman" w:hint="eastAsia"/>
          <w:color w:val="000000"/>
          <w:sz w:val="32"/>
          <w:szCs w:val="32"/>
        </w:rPr>
        <w:t>个</w:t>
      </w:r>
      <w:proofErr w:type="gramEnd"/>
      <w:r>
        <w:rPr>
          <w:rFonts w:ascii="仿宋" w:eastAsia="仿宋" w:hAnsi="仿宋" w:cs="Times New Roman" w:hint="eastAsia"/>
          <w:color w:val="000000"/>
          <w:sz w:val="32"/>
          <w:szCs w:val="32"/>
        </w:rPr>
        <w:t>营业日内。</w:t>
      </w:r>
    </w:p>
    <w:p w14:paraId="2BAE6E7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lastRenderedPageBreak/>
        <w:t>实物结算金额=投资者持有的凭证名义本金金额</w:t>
      </w:r>
      <w:r>
        <w:rPr>
          <w:rFonts w:ascii="仿宋" w:eastAsia="仿宋" w:hAnsi="仿宋" w:cs="Times New Roman" w:hint="eastAsia"/>
          <w:color w:val="000000"/>
          <w:sz w:val="32"/>
          <w:szCs w:val="32"/>
          <w:vertAlign w:val="superscript"/>
        </w:rPr>
        <w:footnoteReference w:id="70"/>
      </w:r>
    </w:p>
    <w:p w14:paraId="5DCFBD17"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满足结算条件的，投资者按照实物交割通知约定，以参考债务票面金额向创设机构交割与凭证名义本金金额等值的参考债务，创设机构在同日向投资者支付实物结算金额。</w:t>
      </w:r>
      <w:r>
        <w:rPr>
          <w:rFonts w:ascii="仿宋" w:eastAsia="仿宋" w:hAnsi="仿宋" w:cs="Times New Roman" w:hint="eastAsia"/>
          <w:color w:val="000000"/>
          <w:sz w:val="32"/>
          <w:szCs w:val="32"/>
          <w:lang w:val="en-GB"/>
        </w:rPr>
        <w:t>上海清算所将依据创设机构和投资者提交的相关结算申请办理结算。</w:t>
      </w:r>
    </w:p>
    <w:p w14:paraId="0596059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当实物结算完成后，创设机构在本期凭证项下的所有义务视为全部履行完毕，且不再向投资者负有任何其他义务。创设机构和投资者需要按照适用于有关参考债务的法律规定各自承担应付的相关税费。结算交割产生的相关费用由投资者自行负担。</w:t>
      </w:r>
    </w:p>
    <w:p w14:paraId="6761D483"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（二）适用现金结算</w:t>
      </w:r>
    </w:p>
    <w:p w14:paraId="2F22913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本期凭证计算机构为【】。</w:t>
      </w:r>
      <w:r>
        <w:rPr>
          <w:rFonts w:ascii="仿宋" w:eastAsia="仿宋" w:hAnsi="仿宋" w:cs="Times New Roman" w:hint="eastAsia"/>
          <w:color w:val="000000"/>
          <w:sz w:val="32"/>
          <w:szCs w:val="32"/>
          <w:vertAlign w:val="superscript"/>
        </w:rPr>
        <w:footnoteReference w:id="71"/>
      </w:r>
    </w:p>
    <w:p w14:paraId="5C28B1F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现金结算金额=投资者持有的凭证名义本金金额×(参考比例</w:t>
      </w:r>
      <w:r>
        <w:rPr>
          <w:rFonts w:ascii="仿宋" w:eastAsia="仿宋" w:hAnsi="仿宋" w:cs="微软雅黑" w:hint="eastAsia"/>
          <w:color w:val="000000"/>
          <w:sz w:val="32"/>
          <w:szCs w:val="32"/>
        </w:rPr>
        <w:t>–</w:t>
      </w:r>
      <w:proofErr w:type="gramStart"/>
      <w:r>
        <w:rPr>
          <w:rFonts w:ascii="仿宋" w:eastAsia="仿宋" w:hAnsi="仿宋" w:cs="Times New Roman" w:hint="eastAsia"/>
          <w:color w:val="000000"/>
          <w:sz w:val="32"/>
          <w:szCs w:val="32"/>
        </w:rPr>
        <w:t>最终比例</w:t>
      </w:r>
      <w:proofErr w:type="gramEnd"/>
      <w:r>
        <w:rPr>
          <w:rFonts w:ascii="仿宋" w:eastAsia="仿宋" w:hAnsi="仿宋" w:cs="Times New Roman" w:hint="eastAsia"/>
          <w:color w:val="000000"/>
          <w:sz w:val="32"/>
          <w:szCs w:val="32"/>
        </w:rPr>
        <w:t>)</w:t>
      </w:r>
      <w:r>
        <w:rPr>
          <w:rFonts w:ascii="仿宋" w:eastAsia="仿宋" w:hAnsi="仿宋" w:cs="Times New Roman" w:hint="eastAsia"/>
          <w:color w:val="000000"/>
          <w:sz w:val="32"/>
          <w:szCs w:val="32"/>
          <w:vertAlign w:val="superscript"/>
        </w:rPr>
        <w:footnoteReference w:id="72"/>
      </w:r>
    </w:p>
    <w:p w14:paraId="2040D855" w14:textId="77777777" w:rsidR="00D25E16" w:rsidRDefault="00D74D86">
      <w:pPr>
        <w:spacing w:line="560" w:lineRule="exact"/>
        <w:ind w:firstLineChars="200" w:firstLine="640"/>
        <w:rPr>
          <w:rFonts w:ascii="仿宋" w:eastAsia="仿宋" w:hAnsi="仿宋" w:cs="Times New Roman" w:hint="eastAsia"/>
          <w:color w:val="000000"/>
          <w:sz w:val="32"/>
          <w:szCs w:val="32"/>
        </w:rPr>
      </w:pPr>
      <w:proofErr w:type="gramStart"/>
      <w:r>
        <w:rPr>
          <w:rFonts w:ascii="仿宋" w:eastAsia="仿宋" w:hAnsi="仿宋" w:cs="Times New Roman" w:hint="eastAsia"/>
          <w:color w:val="000000"/>
          <w:sz w:val="32"/>
          <w:szCs w:val="32"/>
        </w:rPr>
        <w:t>最终比例</w:t>
      </w:r>
      <w:proofErr w:type="gramEnd"/>
      <w:r>
        <w:rPr>
          <w:rFonts w:ascii="仿宋" w:eastAsia="仿宋" w:hAnsi="仿宋" w:cs="Times New Roman" w:hint="eastAsia"/>
          <w:color w:val="000000"/>
          <w:sz w:val="32"/>
          <w:szCs w:val="32"/>
        </w:rPr>
        <w:t>确定的方式为【】。</w:t>
      </w:r>
      <w:r>
        <w:rPr>
          <w:rFonts w:ascii="仿宋" w:eastAsia="仿宋" w:hAnsi="仿宋" w:cs="Times New Roman" w:hint="eastAsia"/>
          <w:color w:val="000000"/>
          <w:sz w:val="32"/>
          <w:szCs w:val="32"/>
          <w:vertAlign w:val="superscript"/>
        </w:rPr>
        <w:footnoteReference w:id="73"/>
      </w:r>
    </w:p>
    <w:p w14:paraId="72B7E8C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现金结算日为</w:t>
      </w:r>
      <w:r>
        <w:rPr>
          <w:rFonts w:ascii="仿宋" w:eastAsia="仿宋" w:hAnsi="仿宋" w:cs="Times New Roman" w:hint="eastAsia"/>
          <w:b/>
          <w:color w:val="000000"/>
          <w:sz w:val="32"/>
          <w:szCs w:val="32"/>
        </w:rPr>
        <w:t>计算机构向交易双方发送的确认</w:t>
      </w:r>
      <w:proofErr w:type="gramStart"/>
      <w:r>
        <w:rPr>
          <w:rFonts w:ascii="仿宋" w:eastAsia="仿宋" w:hAnsi="仿宋" w:cs="Times New Roman" w:hint="eastAsia"/>
          <w:b/>
          <w:color w:val="000000"/>
          <w:sz w:val="32"/>
          <w:szCs w:val="32"/>
        </w:rPr>
        <w:t>最终比例</w:t>
      </w:r>
      <w:proofErr w:type="gramEnd"/>
      <w:r>
        <w:rPr>
          <w:rFonts w:ascii="仿宋" w:eastAsia="仿宋" w:hAnsi="仿宋" w:cs="Times New Roman" w:hint="eastAsia"/>
          <w:b/>
          <w:color w:val="000000"/>
          <w:sz w:val="32"/>
          <w:szCs w:val="32"/>
        </w:rPr>
        <w:t>的书面通知有效送达交易双方之日</w:t>
      </w:r>
      <w:r>
        <w:rPr>
          <w:rFonts w:ascii="仿宋" w:eastAsia="仿宋" w:hAnsi="仿宋" w:cs="Times New Roman" w:hint="eastAsia"/>
          <w:color w:val="000000"/>
          <w:sz w:val="32"/>
          <w:szCs w:val="32"/>
        </w:rPr>
        <w:t>后的第【】</w:t>
      </w:r>
      <w:proofErr w:type="gramStart"/>
      <w:r>
        <w:rPr>
          <w:rFonts w:ascii="仿宋" w:eastAsia="仿宋" w:hAnsi="仿宋" w:cs="Times New Roman" w:hint="eastAsia"/>
          <w:color w:val="000000"/>
          <w:sz w:val="32"/>
          <w:szCs w:val="32"/>
        </w:rPr>
        <w:t>个</w:t>
      </w:r>
      <w:proofErr w:type="gramEnd"/>
      <w:r>
        <w:rPr>
          <w:rFonts w:ascii="仿宋" w:eastAsia="仿宋" w:hAnsi="仿宋" w:cs="Times New Roman" w:hint="eastAsia"/>
          <w:color w:val="000000"/>
          <w:sz w:val="32"/>
          <w:szCs w:val="32"/>
        </w:rPr>
        <w:t>营业日。</w:t>
      </w:r>
    </w:p>
    <w:p w14:paraId="146AFBF5"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满足结算条件的，创设机构在现金结算日向投资者支付现金结算金额。</w:t>
      </w:r>
      <w:r>
        <w:rPr>
          <w:rFonts w:ascii="仿宋" w:eastAsia="仿宋" w:hAnsi="仿宋" w:cs="Times New Roman" w:hint="eastAsia"/>
          <w:color w:val="000000"/>
          <w:sz w:val="32"/>
          <w:szCs w:val="32"/>
          <w:lang w:val="en-GB"/>
        </w:rPr>
        <w:t>上海清算所将依据创设机构和投资者提交的相关结算申请办理结算。</w:t>
      </w:r>
    </w:p>
    <w:p w14:paraId="6750A6A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当现金结算完成后，创设机构在本期凭证项下的所有</w:t>
      </w:r>
      <w:r>
        <w:rPr>
          <w:rFonts w:ascii="仿宋" w:eastAsia="仿宋" w:hAnsi="仿宋" w:cs="Times New Roman" w:hint="eastAsia"/>
          <w:color w:val="000000"/>
          <w:sz w:val="32"/>
          <w:szCs w:val="32"/>
        </w:rPr>
        <w:lastRenderedPageBreak/>
        <w:t>义务视为全部履行完毕，且不再向投资者负有任何其他义务。结算产生的相关费用由投资者自行负担。</w:t>
      </w:r>
    </w:p>
    <w:p w14:paraId="1C16BE99" w14:textId="77777777" w:rsidR="00D25E16" w:rsidRDefault="00D25E16">
      <w:pPr>
        <w:spacing w:line="560" w:lineRule="exact"/>
        <w:ind w:firstLineChars="200" w:firstLine="640"/>
        <w:rPr>
          <w:rFonts w:ascii="仿宋" w:eastAsia="仿宋" w:hAnsi="仿宋" w:cs="Times New Roman" w:hint="eastAsia"/>
          <w:color w:val="000000"/>
          <w:sz w:val="32"/>
          <w:szCs w:val="32"/>
        </w:rPr>
      </w:pPr>
      <w:bookmarkStart w:id="209" w:name="_Toc6460"/>
      <w:bookmarkStart w:id="210" w:name="_Toc10281"/>
      <w:bookmarkStart w:id="211" w:name="_Toc15749"/>
      <w:bookmarkStart w:id="212" w:name="_Toc530063617"/>
      <w:bookmarkStart w:id="213" w:name="_Toc21702"/>
      <w:bookmarkStart w:id="214" w:name="_Toc3598"/>
      <w:bookmarkStart w:id="215" w:name="_Toc18618"/>
      <w:bookmarkStart w:id="216" w:name="_Toc2216"/>
      <w:bookmarkStart w:id="217" w:name="_Toc530063624"/>
      <w:bookmarkStart w:id="218" w:name="_Toc30939"/>
      <w:bookmarkStart w:id="219" w:name="_Toc32223"/>
      <w:bookmarkStart w:id="220" w:name="_Toc467964296"/>
      <w:bookmarkStart w:id="221" w:name="_Toc468016951"/>
    </w:p>
    <w:p w14:paraId="2F9AAA35"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222" w:name="_Toc205973725"/>
      <w:bookmarkStart w:id="223" w:name="_Toc69077767"/>
      <w:bookmarkEnd w:id="209"/>
      <w:bookmarkEnd w:id="210"/>
      <w:bookmarkEnd w:id="211"/>
      <w:bookmarkEnd w:id="212"/>
      <w:bookmarkEnd w:id="213"/>
      <w:r>
        <w:rPr>
          <w:rFonts w:ascii="仿宋" w:eastAsia="仿宋" w:hAnsi="仿宋" w:cs="Times New Roman" w:hint="eastAsia"/>
          <w:b/>
          <w:bCs/>
          <w:color w:val="000000"/>
          <w:kern w:val="44"/>
          <w:sz w:val="32"/>
          <w:szCs w:val="32"/>
        </w:rPr>
        <w:t>通知方式和生效</w:t>
      </w:r>
      <w:bookmarkStart w:id="224" w:name="_Toc25880"/>
      <w:bookmarkStart w:id="225" w:name="_Toc10904"/>
      <w:bookmarkStart w:id="226" w:name="_Toc530063618"/>
      <w:bookmarkStart w:id="227" w:name="_Toc29597"/>
      <w:bookmarkStart w:id="228" w:name="_Toc19146"/>
      <w:bookmarkStart w:id="229" w:name="_Toc26148"/>
      <w:bookmarkEnd w:id="222"/>
      <w:bookmarkEnd w:id="223"/>
    </w:p>
    <w:p w14:paraId="5B8076B0" w14:textId="77777777" w:rsidR="00D25E16" w:rsidRDefault="00D25E16">
      <w:pPr>
        <w:spacing w:line="560" w:lineRule="exact"/>
        <w:ind w:firstLineChars="200" w:firstLine="640"/>
        <w:rPr>
          <w:rFonts w:ascii="仿宋" w:eastAsia="仿宋" w:hAnsi="仿宋" w:cs="Times New Roman" w:hint="eastAsia"/>
          <w:color w:val="000000"/>
          <w:sz w:val="32"/>
          <w:szCs w:val="32"/>
        </w:rPr>
      </w:pPr>
    </w:p>
    <w:bookmarkEnd w:id="224"/>
    <w:bookmarkEnd w:id="225"/>
    <w:bookmarkEnd w:id="226"/>
    <w:bookmarkEnd w:id="227"/>
    <w:bookmarkEnd w:id="228"/>
    <w:bookmarkEnd w:id="229"/>
    <w:p w14:paraId="6A562A0F"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本期凭证的通知送达生效规则适用《中国银行间市场金融衍生产品交易主协议（凭证特别版）》关于通知方式与生效的约定。</w:t>
      </w:r>
    </w:p>
    <w:p w14:paraId="06985F6A"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1E911072"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230" w:name="_Toc205973726"/>
      <w:bookmarkStart w:id="231" w:name="_Toc69077768"/>
      <w:r>
        <w:rPr>
          <w:rFonts w:ascii="仿宋" w:eastAsia="仿宋" w:hAnsi="仿宋" w:cs="Times New Roman" w:hint="eastAsia"/>
          <w:b/>
          <w:bCs/>
          <w:color w:val="000000"/>
          <w:kern w:val="44"/>
          <w:sz w:val="32"/>
          <w:szCs w:val="32"/>
        </w:rPr>
        <w:t>税收</w:t>
      </w:r>
      <w:bookmarkEnd w:id="214"/>
      <w:bookmarkEnd w:id="215"/>
      <w:bookmarkEnd w:id="216"/>
      <w:bookmarkEnd w:id="217"/>
      <w:bookmarkEnd w:id="218"/>
      <w:bookmarkEnd w:id="219"/>
      <w:bookmarkEnd w:id="220"/>
      <w:bookmarkEnd w:id="221"/>
      <w:bookmarkEnd w:id="230"/>
      <w:bookmarkEnd w:id="231"/>
    </w:p>
    <w:p w14:paraId="3E309BF6"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69DC0F3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本期凭证的创设机构和投资者应遵守我国有关税务方面的法律法规，自行承担参与本期凭证业务产生的纳税义务。</w:t>
      </w:r>
    </w:p>
    <w:p w14:paraId="3A3FE168"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3FB7305E"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232" w:name="_Toc205973727"/>
      <w:bookmarkStart w:id="233" w:name="_Toc69077769"/>
      <w:r>
        <w:rPr>
          <w:rFonts w:ascii="仿宋" w:eastAsia="仿宋" w:hAnsi="仿宋" w:cs="Times New Roman" w:hint="eastAsia"/>
          <w:b/>
          <w:bCs/>
          <w:color w:val="000000"/>
          <w:kern w:val="44"/>
          <w:sz w:val="32"/>
          <w:szCs w:val="32"/>
        </w:rPr>
        <w:t>凭证持有人会议</w:t>
      </w:r>
      <w:bookmarkEnd w:id="232"/>
      <w:bookmarkEnd w:id="233"/>
    </w:p>
    <w:p w14:paraId="71C75AF7" w14:textId="77777777" w:rsidR="00D25E16" w:rsidRDefault="00D25E16">
      <w:pPr>
        <w:spacing w:line="560" w:lineRule="exact"/>
        <w:ind w:firstLineChars="200" w:firstLine="643"/>
        <w:rPr>
          <w:rFonts w:ascii="仿宋" w:eastAsia="仿宋" w:hAnsi="仿宋" w:cs="Times New Roman" w:hint="eastAsia"/>
          <w:b/>
          <w:color w:val="000000"/>
          <w:sz w:val="32"/>
          <w:szCs w:val="32"/>
        </w:rPr>
      </w:pPr>
    </w:p>
    <w:p w14:paraId="07F9A740"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34" w:name="_Toc69077770"/>
      <w:bookmarkStart w:id="235" w:name="_Toc205973728"/>
      <w:r>
        <w:rPr>
          <w:rFonts w:ascii="仿宋" w:eastAsia="仿宋" w:hAnsi="仿宋" w:cs="Times New Roman" w:hint="eastAsia"/>
          <w:b/>
          <w:bCs/>
          <w:color w:val="000000"/>
          <w:sz w:val="32"/>
          <w:szCs w:val="32"/>
        </w:rPr>
        <w:t>一、召开情形</w:t>
      </w:r>
      <w:bookmarkEnd w:id="234"/>
      <w:bookmarkEnd w:id="235"/>
    </w:p>
    <w:p w14:paraId="0F91FCE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在本期凭证存续期内，出现对本期凭证具有重大影响的事件</w:t>
      </w:r>
      <w:r>
        <w:rPr>
          <w:rFonts w:ascii="仿宋" w:eastAsia="仿宋" w:hAnsi="仿宋" w:cs="Times New Roman" w:hint="eastAsia"/>
          <w:color w:val="000000"/>
          <w:sz w:val="32"/>
          <w:szCs w:val="32"/>
          <w:vertAlign w:val="superscript"/>
        </w:rPr>
        <w:footnoteReference w:id="74"/>
      </w:r>
      <w:r>
        <w:rPr>
          <w:rFonts w:ascii="仿宋" w:eastAsia="仿宋" w:hAnsi="仿宋" w:cs="Times New Roman" w:hint="eastAsia"/>
          <w:color w:val="000000"/>
          <w:sz w:val="32"/>
          <w:szCs w:val="32"/>
        </w:rPr>
        <w:t>，或者创设机构出现《中国银行间市场金融衍生产品交易主协议（凭证特别版）》约定的违约事件或终止事件，本期凭证创设机构和持有人均有权提议召开持有人会议。</w:t>
      </w:r>
    </w:p>
    <w:p w14:paraId="6EA0A5D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本期凭证持有人会议相关流程和要求应符合交易商协</w:t>
      </w:r>
      <w:r>
        <w:rPr>
          <w:rFonts w:ascii="仿宋" w:eastAsia="仿宋" w:hAnsi="仿宋" w:cs="Times New Roman" w:hint="eastAsia"/>
          <w:color w:val="000000"/>
          <w:sz w:val="32"/>
          <w:szCs w:val="32"/>
        </w:rPr>
        <w:lastRenderedPageBreak/>
        <w:t>会关于信用风险缓释凭证持有人会议的最低要求。</w:t>
      </w:r>
    </w:p>
    <w:p w14:paraId="2406836B"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28EC6BC6"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36" w:name="_Toc205973729"/>
      <w:bookmarkStart w:id="237" w:name="_Toc69077771"/>
      <w:r>
        <w:rPr>
          <w:rFonts w:ascii="仿宋" w:eastAsia="仿宋" w:hAnsi="仿宋" w:cs="Times New Roman" w:hint="eastAsia"/>
          <w:b/>
          <w:bCs/>
          <w:color w:val="000000"/>
          <w:sz w:val="32"/>
          <w:szCs w:val="32"/>
        </w:rPr>
        <w:t>二、会议召集</w:t>
      </w:r>
      <w:bookmarkEnd w:id="236"/>
      <w:bookmarkEnd w:id="237"/>
    </w:p>
    <w:p w14:paraId="10EF64D9"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（一）召集人</w:t>
      </w:r>
    </w:p>
    <w:p w14:paraId="4AFC8B1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本期凭证持有人会议由【创设机构】召集。召集人负责组织召开持有人会议，收集持有人对会议审议事项的意见，履行信息披露、文件制作、档案保存等职责。</w:t>
      </w:r>
    </w:p>
    <w:p w14:paraId="55718670"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召集人知悉持有人会议召开情形发生的，应在【】</w:t>
      </w:r>
      <w:proofErr w:type="gramStart"/>
      <w:r>
        <w:rPr>
          <w:rFonts w:ascii="仿宋" w:eastAsia="仿宋" w:hAnsi="仿宋" w:cs="Times New Roman" w:hint="eastAsia"/>
          <w:color w:val="000000"/>
          <w:sz w:val="32"/>
          <w:szCs w:val="32"/>
        </w:rPr>
        <w:t>个</w:t>
      </w:r>
      <w:proofErr w:type="gramEnd"/>
      <w:r>
        <w:rPr>
          <w:rFonts w:ascii="仿宋" w:eastAsia="仿宋" w:hAnsi="仿宋" w:cs="Times New Roman" w:hint="eastAsia"/>
          <w:color w:val="000000"/>
          <w:sz w:val="32"/>
          <w:szCs w:val="32"/>
        </w:rPr>
        <w:t>营业日内</w:t>
      </w:r>
      <w:r>
        <w:rPr>
          <w:rFonts w:ascii="仿宋" w:eastAsia="仿宋" w:hAnsi="仿宋" w:cs="Times New Roman" w:hint="eastAsia"/>
          <w:color w:val="000000"/>
          <w:sz w:val="32"/>
          <w:szCs w:val="32"/>
          <w:vertAlign w:val="superscript"/>
        </w:rPr>
        <w:footnoteReference w:id="75"/>
      </w:r>
      <w:r>
        <w:rPr>
          <w:rFonts w:ascii="仿宋" w:eastAsia="仿宋" w:hAnsi="仿宋" w:cs="Times New Roman" w:hint="eastAsia"/>
          <w:color w:val="000000"/>
          <w:sz w:val="32"/>
          <w:szCs w:val="32"/>
        </w:rPr>
        <w:t>召集持有人会议；未触发召开情形但召集人认为有必要召集持有人会议的，也可以主动召集。召集人召集持有人会议应保障持有人提出议案、参加会议、参与表决等《信用风险缓释凭证持有人会议规程》规定及本创设说明书约定的程序权利。</w:t>
      </w:r>
    </w:p>
    <w:p w14:paraId="7F3F6BA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召集人不能履行或者不履行召集职责的，本期凭证持有人也可以自行召集持有人会议，履行召集人的职责。</w:t>
      </w:r>
    </w:p>
    <w:p w14:paraId="3F11ADE6"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（二）召集条件</w:t>
      </w:r>
      <w:r>
        <w:rPr>
          <w:rFonts w:ascii="仿宋" w:eastAsia="仿宋" w:hAnsi="仿宋" w:cs="Times New Roman" w:hint="eastAsia"/>
          <w:color w:val="000000"/>
          <w:sz w:val="32"/>
          <w:szCs w:val="32"/>
          <w:vertAlign w:val="superscript"/>
        </w:rPr>
        <w:footnoteReference w:id="76"/>
      </w:r>
    </w:p>
    <w:p w14:paraId="24492E4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存续期间发生以下情形之一的，召集人应召集持有人会议：1.创设机构未按照约定履行其在本期凭证创设说明书或者主协议项下的相关义务；2.创设机构拟解散、申请破产、被责令停产停业、暂扣或者吊销营业执照；3.单独或合计持有30%以上本期凭证存续金额的持有人书面提议召开持有人会议。</w:t>
      </w:r>
    </w:p>
    <w:p w14:paraId="2681AFA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本期凭证存续期间发生可能影响创设机构偿付能力的</w:t>
      </w:r>
      <w:r>
        <w:rPr>
          <w:rFonts w:ascii="仿宋" w:eastAsia="仿宋" w:hAnsi="仿宋" w:cs="Times New Roman" w:hint="eastAsia"/>
          <w:color w:val="000000"/>
          <w:sz w:val="32"/>
          <w:szCs w:val="32"/>
        </w:rPr>
        <w:lastRenderedPageBreak/>
        <w:t>重大事项，且创设机构或者有单独或合计持有10%以上本期凭证存续金额的持有人书面提议的，可召集持有人会议。相关事项披露之日起十五个营业日内未满足提议条件，或前期已就同一事项召集会议且相关事项未发生重大变化的，召集人可以不召集持有人会议。</w:t>
      </w:r>
    </w:p>
    <w:p w14:paraId="583BE97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存续期内虽未出现上述情形，但单独或合计持有10%以上本期凭证存续金额的持有人认为有需要召开持有人会议的，可以向创设机构书面提议。创设机构自收到书面提议起五个营业日内向提议人书面回复是否同意召集持有人会议。</w:t>
      </w:r>
    </w:p>
    <w:p w14:paraId="0D79421F"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本期凭证仅有唯一持有人时，可无需召开持有人会议。持有人可以直接</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书面决定，该书面决定具有与持有人会议决议相同的效力。持有人</w:t>
      </w:r>
      <w:proofErr w:type="gramStart"/>
      <w:r>
        <w:rPr>
          <w:rFonts w:ascii="仿宋" w:eastAsia="仿宋" w:hAnsi="仿宋" w:cs="Times New Roman" w:hint="eastAsia"/>
          <w:color w:val="000000"/>
          <w:sz w:val="32"/>
          <w:szCs w:val="32"/>
        </w:rPr>
        <w:t>作出</w:t>
      </w:r>
      <w:proofErr w:type="gramEnd"/>
      <w:r>
        <w:rPr>
          <w:rFonts w:ascii="仿宋" w:eastAsia="仿宋" w:hAnsi="仿宋" w:cs="Times New Roman" w:hint="eastAsia"/>
          <w:color w:val="000000"/>
          <w:sz w:val="32"/>
          <w:szCs w:val="32"/>
        </w:rPr>
        <w:t>书面决定后应在一个营业日内交至创设机构，创设机构应在收到书面决定之日后的五个营业日内进行答复。</w:t>
      </w:r>
    </w:p>
    <w:p w14:paraId="7FEA4D57"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（三）召开通知</w:t>
      </w:r>
    </w:p>
    <w:p w14:paraId="5AA5F7A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本期凭证持有人会议召集人应至少于凭证持有人会议召开日前十个营业日在交易商协会认可的渠道披露凭证持有人会议召开通知。召集人可以</w:t>
      </w:r>
      <w:proofErr w:type="gramStart"/>
      <w:r>
        <w:rPr>
          <w:rFonts w:ascii="仿宋" w:eastAsia="仿宋" w:hAnsi="仿宋" w:cs="Times New Roman" w:hint="eastAsia"/>
          <w:color w:val="000000"/>
          <w:sz w:val="32"/>
          <w:szCs w:val="32"/>
        </w:rPr>
        <w:t>凭召开</w:t>
      </w:r>
      <w:proofErr w:type="gramEnd"/>
      <w:r>
        <w:rPr>
          <w:rFonts w:ascii="仿宋" w:eastAsia="仿宋" w:hAnsi="仿宋" w:cs="Times New Roman" w:hint="eastAsia"/>
          <w:color w:val="000000"/>
          <w:sz w:val="32"/>
          <w:szCs w:val="32"/>
        </w:rPr>
        <w:t>通知，依据登记托管机构相关要求查询本期凭证持有人名册。</w:t>
      </w:r>
    </w:p>
    <w:p w14:paraId="2C1A444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凭证持有人会议召开通知包括但不限于下列内容：1.本期凭证基本信息、凭证持有人会议召开背景；2.会议召集人、会务负责人姓名及联系方式；3.会议时间和地点、会议召开形式</w:t>
      </w:r>
      <w:r>
        <w:rPr>
          <w:rFonts w:ascii="仿宋" w:eastAsia="仿宋" w:hAnsi="仿宋" w:cs="Times New Roman" w:hint="eastAsia"/>
          <w:color w:val="000000"/>
          <w:sz w:val="32"/>
          <w:szCs w:val="32"/>
          <w:vertAlign w:val="superscript"/>
        </w:rPr>
        <w:footnoteReference w:id="77"/>
      </w:r>
      <w:r>
        <w:rPr>
          <w:rFonts w:ascii="仿宋" w:eastAsia="仿宋" w:hAnsi="仿宋" w:cs="Times New Roman" w:hint="eastAsia"/>
          <w:color w:val="000000"/>
          <w:sz w:val="32"/>
          <w:szCs w:val="32"/>
        </w:rPr>
        <w:t>；4.会议议事程序，包括凭证持有人会议的</w:t>
      </w:r>
      <w:r>
        <w:rPr>
          <w:rFonts w:ascii="仿宋" w:eastAsia="仿宋" w:hAnsi="仿宋" w:cs="Times New Roman" w:hint="eastAsia"/>
          <w:color w:val="000000"/>
          <w:sz w:val="32"/>
          <w:szCs w:val="32"/>
        </w:rPr>
        <w:lastRenderedPageBreak/>
        <w:t>召集方式、表决方式、表决截止日和其他相关事宜；5.持有份额登记日;6.提交凭证账务资料以确认参会资格的截止时点；7.参会证明要求</w:t>
      </w:r>
      <w:r>
        <w:rPr>
          <w:rFonts w:ascii="仿宋" w:eastAsia="仿宋" w:hAnsi="仿宋" w:cs="Times New Roman" w:hint="eastAsia"/>
          <w:color w:val="000000"/>
          <w:sz w:val="32"/>
          <w:szCs w:val="32"/>
          <w:vertAlign w:val="superscript"/>
        </w:rPr>
        <w:footnoteReference w:id="78"/>
      </w:r>
      <w:r>
        <w:rPr>
          <w:rFonts w:ascii="仿宋" w:eastAsia="仿宋" w:hAnsi="仿宋" w:cs="Times New Roman" w:hint="eastAsia"/>
          <w:color w:val="000000"/>
          <w:sz w:val="32"/>
          <w:szCs w:val="32"/>
        </w:rPr>
        <w:t>。</w:t>
      </w:r>
    </w:p>
    <w:p w14:paraId="06BAB270" w14:textId="77777777" w:rsidR="00D25E16" w:rsidRDefault="00D74D86">
      <w:pPr>
        <w:spacing w:line="560" w:lineRule="exact"/>
        <w:ind w:firstLineChars="200" w:firstLine="643"/>
        <w:rPr>
          <w:rFonts w:ascii="仿宋" w:eastAsia="仿宋" w:hAnsi="仿宋" w:cs="Times New Roman" w:hint="eastAsia"/>
          <w:b/>
          <w:color w:val="000000"/>
          <w:sz w:val="32"/>
          <w:szCs w:val="32"/>
        </w:rPr>
      </w:pPr>
      <w:r>
        <w:rPr>
          <w:rFonts w:ascii="仿宋" w:eastAsia="仿宋" w:hAnsi="仿宋" w:cs="Times New Roman" w:hint="eastAsia"/>
          <w:b/>
          <w:color w:val="000000"/>
          <w:sz w:val="32"/>
          <w:szCs w:val="32"/>
        </w:rPr>
        <w:t>（四）凭证持有人会议议题</w:t>
      </w:r>
    </w:p>
    <w:p w14:paraId="435C273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召集人应与创设机构、持有人等相关方沟通，拟定凭证持有人会议议案。召集人应至少于凭证持有人会议召开日前七个营业日将议案发送至持有人。如未收到议案，可向召集人获取。</w:t>
      </w:r>
    </w:p>
    <w:p w14:paraId="4159291F"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单独或合计持有10%以上本期凭证余额的持有人可以于会议召开日前五个营业日以书面形式向召集人提出补充议案。召集人可对议案进行增补，或在不影响提案人真实意思表示的前提下对议案进行整理，形成最终议案，并提交凭证持有人会议审议。</w:t>
      </w:r>
    </w:p>
    <w:p w14:paraId="148B505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召集人应在不晚于会议召开日前三个营业日将最终议案发送至全体持有人，并披露最终议案概要。最终议案概要包括标题、主要内容、执行程序及答复时限要求。</w:t>
      </w:r>
    </w:p>
    <w:p w14:paraId="3F952D4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出现本期凭证权利义务关系终止、召开事由消除、不可抗力等情形，召集人可以取消本次持有人会议。召集人取消持有人会议的，应披露会议取消通知，说明取消原因。</w:t>
      </w:r>
    </w:p>
    <w:p w14:paraId="58F62427"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75D5CA93"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38" w:name="_Toc205973730"/>
      <w:bookmarkStart w:id="239" w:name="_Toc69077772"/>
      <w:r>
        <w:rPr>
          <w:rFonts w:ascii="仿宋" w:eastAsia="仿宋" w:hAnsi="仿宋" w:cs="Times New Roman" w:hint="eastAsia"/>
          <w:b/>
          <w:bCs/>
          <w:color w:val="000000"/>
          <w:sz w:val="32"/>
          <w:szCs w:val="32"/>
        </w:rPr>
        <w:t>三、凭证持有人会议相关要求</w:t>
      </w:r>
      <w:bookmarkEnd w:id="238"/>
      <w:bookmarkEnd w:id="239"/>
    </w:p>
    <w:p w14:paraId="25C9648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凭证持有人会议的具体要求如下：</w:t>
      </w:r>
    </w:p>
    <w:p w14:paraId="3A21B9D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1.参会机构：持有人应向本期凭证的登记托管机构查</w:t>
      </w:r>
      <w:r>
        <w:rPr>
          <w:rFonts w:ascii="仿宋" w:eastAsia="仿宋" w:hAnsi="仿宋" w:cs="Times New Roman" w:hint="eastAsia"/>
          <w:color w:val="000000"/>
          <w:sz w:val="32"/>
          <w:szCs w:val="32"/>
        </w:rPr>
        <w:lastRenderedPageBreak/>
        <w:t>询其于持有人份额登记日持有本期凭证的账务信息，并于会议召开前向召集人提供相关资料以证明参会资格。召集人应对持有人或其授权代表的参会资格进行确认，并登记其名称以及持有份额。持有人份额登记日应为凭证持有人会议召开日前一个营业日。持有人在持有人会议召开前未向召集人证明其参会资格的，不得参加凭证持有人会议和享有表决权。持有人授权其他机构参加持有人会议的，授权代表应出具授权委托书和身份证明，在授权范围内参加持有人会议并履行受托义务。</w:t>
      </w:r>
    </w:p>
    <w:p w14:paraId="3AE3A5E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凭证持有人会议应至少有2名律师进行见证。见证律师对会议的召集、召开、表决程序、出席会议人员资格、表决权有效性、议案类型、会议有效性、决议生效情况等事项出具法律意见书</w:t>
      </w:r>
      <w:r>
        <w:rPr>
          <w:rFonts w:ascii="仿宋" w:eastAsia="仿宋" w:hAnsi="仿宋" w:cs="Times New Roman" w:hint="eastAsia"/>
          <w:color w:val="000000"/>
          <w:sz w:val="32"/>
          <w:szCs w:val="32"/>
          <w:vertAlign w:val="superscript"/>
        </w:rPr>
        <w:footnoteReference w:id="79"/>
      </w:r>
      <w:r>
        <w:rPr>
          <w:rFonts w:ascii="仿宋" w:eastAsia="仿宋" w:hAnsi="仿宋" w:cs="Times New Roman" w:hint="eastAsia"/>
          <w:color w:val="000000"/>
          <w:sz w:val="32"/>
          <w:szCs w:val="32"/>
        </w:rPr>
        <w:t>。法律意见书与持有人会议决议一同披露。</w:t>
      </w:r>
    </w:p>
    <w:p w14:paraId="4A5F7FBB"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持有人或其授权代表行使表决权，其本期凭证持有份额即表决权数额。未参会的持有人不参与表决，其所持有的表决权计入总表决权。出席凭证持有人会议的持有人所持有的表决权数额应超过本期凭证总表决权数额的【】%</w:t>
      </w:r>
      <w:r>
        <w:rPr>
          <w:rFonts w:ascii="仿宋" w:eastAsia="仿宋" w:hAnsi="仿宋" w:cs="Times New Roman" w:hint="eastAsia"/>
          <w:color w:val="000000"/>
          <w:sz w:val="32"/>
          <w:szCs w:val="32"/>
          <w:vertAlign w:val="superscript"/>
        </w:rPr>
        <w:footnoteReference w:id="80"/>
      </w:r>
      <w:r>
        <w:rPr>
          <w:rFonts w:ascii="仿宋" w:eastAsia="仿宋" w:hAnsi="仿宋" w:cs="Times New Roman" w:hint="eastAsia"/>
          <w:color w:val="000000"/>
          <w:sz w:val="32"/>
          <w:szCs w:val="32"/>
        </w:rPr>
        <w:t>，会议方可生效。</w:t>
      </w:r>
    </w:p>
    <w:p w14:paraId="4CB3FE5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3.创设机构及其重要关联方持有本期凭证的，应主动向召集人表明关联关系，并不得参与表决，其所持有的表决权数额不计入总表决权数额。利用、隐瞒关联关系侵害其他人合法利益的，承担相应法律责任。上述所称重要关</w:t>
      </w:r>
      <w:r>
        <w:rPr>
          <w:rFonts w:ascii="仿宋" w:eastAsia="仿宋" w:hAnsi="仿宋" w:cs="Times New Roman" w:hint="eastAsia"/>
          <w:color w:val="000000"/>
          <w:sz w:val="32"/>
          <w:szCs w:val="32"/>
        </w:rPr>
        <w:lastRenderedPageBreak/>
        <w:t>联方包括但不限于：创设机构控股股东、实际控制人；创设机构合并范围内子公司；其他可能影响表决公正性的关联方。</w:t>
      </w:r>
    </w:p>
    <w:p w14:paraId="30319F3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4.持有人会议对列入议程的各项议案分别审议，逐项表决，不得对会议通知中未列明的事项进行决议。</w:t>
      </w:r>
    </w:p>
    <w:p w14:paraId="7AB680C8"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5.持有人会议的全部议案在会议召开首日后的【】</w:t>
      </w:r>
      <w:r>
        <w:rPr>
          <w:rFonts w:ascii="仿宋" w:eastAsia="仿宋" w:hAnsi="仿宋" w:cs="Times New Roman" w:hint="eastAsia"/>
          <w:color w:val="000000"/>
          <w:sz w:val="32"/>
          <w:szCs w:val="32"/>
          <w:vertAlign w:val="superscript"/>
        </w:rPr>
        <w:footnoteReference w:id="81"/>
      </w:r>
      <w:proofErr w:type="gramStart"/>
      <w:r>
        <w:rPr>
          <w:rFonts w:ascii="仿宋" w:eastAsia="仿宋" w:hAnsi="仿宋" w:cs="Times New Roman" w:hint="eastAsia"/>
          <w:color w:val="000000"/>
          <w:sz w:val="32"/>
          <w:szCs w:val="32"/>
        </w:rPr>
        <w:t>个</w:t>
      </w:r>
      <w:proofErr w:type="gramEnd"/>
      <w:r>
        <w:rPr>
          <w:rFonts w:ascii="仿宋" w:eastAsia="仿宋" w:hAnsi="仿宋" w:cs="Times New Roman" w:hint="eastAsia"/>
          <w:color w:val="000000"/>
          <w:sz w:val="32"/>
          <w:szCs w:val="32"/>
        </w:rPr>
        <w:t>营业日内表决结束。</w:t>
      </w:r>
    </w:p>
    <w:p w14:paraId="46777D8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6.召集人应向本期凭证的登记托管机构查询表决截止日持有人名册，并核对相关持有人凭证账务信息。表决截止日终无对应本期凭证份额的表决票视为无效票，无效票不计入议案表决的统计中。持有人未做表决、投票不规范或投弃权票的，视为该持有人放弃投票权，其所持有的本期凭证份额计入议案表决的统计中。</w:t>
      </w:r>
    </w:p>
    <w:p w14:paraId="711699A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7.凭证持有人会议决议应</w:t>
      </w:r>
      <w:r>
        <w:rPr>
          <w:rFonts w:ascii="仿宋" w:eastAsia="仿宋" w:hAnsi="仿宋" w:cs="Times New Roman"/>
          <w:color w:val="000000"/>
          <w:sz w:val="32"/>
          <w:szCs w:val="32"/>
        </w:rPr>
        <w:t>由</w:t>
      </w:r>
      <w:r>
        <w:rPr>
          <w:rFonts w:ascii="仿宋" w:eastAsia="仿宋" w:hAnsi="仿宋" w:cs="Times New Roman" w:hint="eastAsia"/>
          <w:color w:val="000000"/>
          <w:sz w:val="32"/>
          <w:szCs w:val="32"/>
        </w:rPr>
        <w:t>参加会议持有人所持表决权【】</w:t>
      </w:r>
      <w:r>
        <w:rPr>
          <w:rFonts w:ascii="仿宋" w:eastAsia="仿宋" w:hAnsi="仿宋" w:cs="Times New Roman"/>
          <w:color w:val="000000"/>
          <w:sz w:val="32"/>
          <w:szCs w:val="32"/>
          <w:vertAlign w:val="superscript"/>
        </w:rPr>
        <w:footnoteReference w:id="82"/>
      </w:r>
      <w:r>
        <w:rPr>
          <w:rFonts w:ascii="仿宋" w:eastAsia="仿宋" w:hAnsi="仿宋" w:cs="Times New Roman" w:hint="eastAsia"/>
          <w:color w:val="000000"/>
          <w:sz w:val="32"/>
          <w:szCs w:val="32"/>
        </w:rPr>
        <w:t>以上，且</w:t>
      </w:r>
      <w:r>
        <w:rPr>
          <w:rFonts w:ascii="仿宋" w:eastAsia="仿宋" w:hAnsi="仿宋" w:cs="Times New Roman"/>
          <w:color w:val="000000"/>
          <w:sz w:val="32"/>
          <w:szCs w:val="32"/>
        </w:rPr>
        <w:t>持有本</w:t>
      </w:r>
      <w:r>
        <w:rPr>
          <w:rFonts w:ascii="仿宋" w:eastAsia="仿宋" w:hAnsi="仿宋" w:cs="Times New Roman" w:hint="eastAsia"/>
          <w:color w:val="000000"/>
          <w:sz w:val="32"/>
          <w:szCs w:val="32"/>
        </w:rPr>
        <w:t>期凭证表决权</w:t>
      </w:r>
      <w:r>
        <w:rPr>
          <w:rFonts w:ascii="仿宋" w:eastAsia="仿宋" w:hAnsi="仿宋" w:cs="Times New Roman"/>
          <w:color w:val="000000"/>
          <w:sz w:val="32"/>
          <w:szCs w:val="32"/>
        </w:rPr>
        <w:t>数额超过总表决权数额</w:t>
      </w:r>
      <w:r>
        <w:rPr>
          <w:rFonts w:ascii="仿宋" w:eastAsia="仿宋" w:hAnsi="仿宋" w:cs="Times New Roman" w:hint="eastAsia"/>
          <w:color w:val="000000"/>
          <w:sz w:val="32"/>
          <w:szCs w:val="32"/>
        </w:rPr>
        <w:t>【】</w:t>
      </w:r>
      <w:r>
        <w:rPr>
          <w:rFonts w:ascii="仿宋" w:eastAsia="仿宋" w:hAnsi="仿宋" w:cs="Times New Roman"/>
          <w:color w:val="000000"/>
          <w:sz w:val="32"/>
          <w:szCs w:val="32"/>
        </w:rPr>
        <w:t>%</w:t>
      </w:r>
      <w:r>
        <w:rPr>
          <w:rFonts w:ascii="仿宋" w:eastAsia="仿宋" w:hAnsi="仿宋" w:cs="Times New Roman" w:hint="eastAsia"/>
          <w:color w:val="000000"/>
          <w:sz w:val="32"/>
          <w:szCs w:val="32"/>
          <w:vertAlign w:val="superscript"/>
        </w:rPr>
        <w:footnoteReference w:id="83"/>
      </w:r>
      <w:r>
        <w:rPr>
          <w:rFonts w:ascii="仿宋" w:eastAsia="仿宋" w:hAnsi="仿宋" w:cs="Times New Roman"/>
          <w:color w:val="000000"/>
          <w:sz w:val="32"/>
          <w:szCs w:val="32"/>
        </w:rPr>
        <w:t>的</w:t>
      </w:r>
      <w:r>
        <w:rPr>
          <w:rFonts w:ascii="仿宋" w:eastAsia="仿宋" w:hAnsi="仿宋" w:cs="Times New Roman" w:hint="eastAsia"/>
          <w:color w:val="000000"/>
          <w:sz w:val="32"/>
          <w:szCs w:val="32"/>
        </w:rPr>
        <w:t>持有人</w:t>
      </w:r>
      <w:r>
        <w:rPr>
          <w:rFonts w:ascii="仿宋" w:eastAsia="仿宋" w:hAnsi="仿宋" w:cs="Times New Roman"/>
          <w:color w:val="000000"/>
          <w:sz w:val="32"/>
          <w:szCs w:val="32"/>
        </w:rPr>
        <w:t>同意后</w:t>
      </w:r>
      <w:r>
        <w:rPr>
          <w:rFonts w:ascii="仿宋" w:eastAsia="仿宋" w:hAnsi="仿宋" w:cs="Times New Roman" w:hint="eastAsia"/>
          <w:color w:val="000000"/>
          <w:sz w:val="32"/>
          <w:szCs w:val="32"/>
        </w:rPr>
        <w:t>方可生效。</w:t>
      </w:r>
    </w:p>
    <w:p w14:paraId="0B1162B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8.凭证持有人会议应有书面会议记录作为备查文件。凭证持有人会议记录由出席会议的召集人代表签名。</w:t>
      </w:r>
    </w:p>
    <w:p w14:paraId="35044E5C"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9.召集人应在凭证持有人会议表决截止日后的两个营业日内将会议决议公告在交易商协会认可的渠道披露。会议决议公告包括但不限于以下内容：</w:t>
      </w:r>
      <w:r>
        <w:rPr>
          <w:rFonts w:ascii="仿宋" w:eastAsia="仿宋" w:hAnsi="仿宋" w:cs="Times New Roman"/>
          <w:color w:val="000000"/>
          <w:sz w:val="32"/>
          <w:szCs w:val="32"/>
        </w:rPr>
        <w:t>出席会议的本期凭证</w:t>
      </w:r>
      <w:r>
        <w:rPr>
          <w:rFonts w:ascii="仿宋" w:eastAsia="仿宋" w:hAnsi="仿宋" w:cs="Times New Roman" w:hint="eastAsia"/>
          <w:color w:val="000000"/>
          <w:sz w:val="32"/>
          <w:szCs w:val="32"/>
        </w:rPr>
        <w:t>持有人所持表决权情况；会议有效性；各项议案的概要、表决结果及生效情况。</w:t>
      </w:r>
    </w:p>
    <w:p w14:paraId="013EF764"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lastRenderedPageBreak/>
        <w:t>10.创设机构应自收到会议决议之日后的五个营业日内披露对持有人会议决议情况的答复情况。</w:t>
      </w:r>
    </w:p>
    <w:p w14:paraId="67A5743E"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11.会议记录由参加会议的召集人代表签名。本期凭证持有人会议的会议</w:t>
      </w:r>
      <w:r>
        <w:rPr>
          <w:rFonts w:ascii="仿宋" w:eastAsia="仿宋" w:hAnsi="仿宋" w:cs="Times New Roman"/>
          <w:color w:val="000000"/>
          <w:sz w:val="32"/>
          <w:szCs w:val="32"/>
        </w:rPr>
        <w:t>公告</w:t>
      </w:r>
      <w:r>
        <w:rPr>
          <w:rFonts w:ascii="仿宋" w:eastAsia="仿宋" w:hAnsi="仿宋" w:cs="Times New Roman" w:hint="eastAsia"/>
          <w:color w:val="000000"/>
          <w:sz w:val="32"/>
          <w:szCs w:val="32"/>
        </w:rPr>
        <w:t>、会议议案、参会机构与人员以及表决机构与人员名册、会议记录、表决文件、会议决议公告、持有人会议决议答复、法律意见书、召集人自登记托管机构获取的持有人份额登记日日终和会议表决截止日日终</w:t>
      </w:r>
      <w:r>
        <w:rPr>
          <w:rFonts w:ascii="仿宋" w:eastAsia="仿宋" w:hAnsi="仿宋" w:cs="Times New Roman"/>
          <w:color w:val="000000"/>
          <w:sz w:val="32"/>
          <w:szCs w:val="32"/>
        </w:rPr>
        <w:t>本</w:t>
      </w:r>
      <w:r>
        <w:rPr>
          <w:rFonts w:ascii="仿宋" w:eastAsia="仿宋" w:hAnsi="仿宋" w:cs="Times New Roman" w:hint="eastAsia"/>
          <w:color w:val="000000"/>
          <w:sz w:val="32"/>
          <w:szCs w:val="32"/>
        </w:rPr>
        <w:t>期凭证持有人名单等会议文件和资料由召集人保管，并至少保管至</w:t>
      </w:r>
      <w:r>
        <w:rPr>
          <w:rFonts w:ascii="仿宋" w:eastAsia="仿宋" w:hAnsi="仿宋" w:cs="Times New Roman"/>
          <w:color w:val="000000"/>
          <w:sz w:val="32"/>
          <w:szCs w:val="32"/>
        </w:rPr>
        <w:t>本</w:t>
      </w:r>
      <w:r>
        <w:rPr>
          <w:rFonts w:ascii="仿宋" w:eastAsia="仿宋" w:hAnsi="仿宋" w:cs="Times New Roman" w:hint="eastAsia"/>
          <w:color w:val="000000"/>
          <w:sz w:val="32"/>
          <w:szCs w:val="32"/>
        </w:rPr>
        <w:t>期凭证注销后5年。</w:t>
      </w:r>
    </w:p>
    <w:p w14:paraId="51696237"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52E9A84E"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40" w:name="_Toc69077773"/>
      <w:bookmarkStart w:id="241" w:name="_Toc205973731"/>
      <w:r>
        <w:rPr>
          <w:rFonts w:ascii="仿宋" w:eastAsia="仿宋" w:hAnsi="仿宋" w:cs="Times New Roman" w:hint="eastAsia"/>
          <w:b/>
          <w:bCs/>
          <w:color w:val="000000"/>
          <w:sz w:val="32"/>
          <w:szCs w:val="32"/>
        </w:rPr>
        <w:t>四、持有人会议决议导致凭证的终止</w:t>
      </w:r>
      <w:bookmarkEnd w:id="240"/>
      <w:bookmarkEnd w:id="241"/>
    </w:p>
    <w:p w14:paraId="68EA876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自提前终止日（含该日）起终止，交易双方按照《中国银行间市场金融衍生产品交易主协议（凭证特别版）》的相关约定支付提前终止应付额。但是，若在提前终止日前（不含该日）发生下列事件，则该提前终止决定自动失效，本期凭证仍按照本创设说明书相关规定进行结算安排：</w:t>
      </w:r>
    </w:p>
    <w:p w14:paraId="0858ACA5" w14:textId="77777777" w:rsidR="00D25E16" w:rsidRDefault="00D74D86" w:rsidP="00D25E16">
      <w:pPr>
        <w:numPr>
          <w:ilvl w:val="255"/>
          <w:numId w:val="0"/>
        </w:num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1.参考实体发生本期凭证约定的信用事件；</w:t>
      </w:r>
    </w:p>
    <w:p w14:paraId="4CE3FAF3" w14:textId="77777777" w:rsidR="00D25E16" w:rsidRDefault="00D74D86" w:rsidP="00D25E16">
      <w:pPr>
        <w:numPr>
          <w:ilvl w:val="255"/>
          <w:numId w:val="0"/>
        </w:num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2.参考实体已发生潜在支付违约事件，宽限期的最后一日在提前终止日之后（含该日），且该等潜在支付违约事件未能得到纠正。</w:t>
      </w:r>
    </w:p>
    <w:p w14:paraId="611F2147" w14:textId="77777777" w:rsidR="00D25E16" w:rsidRDefault="00D74D86" w:rsidP="00D25E16">
      <w:pPr>
        <w:numPr>
          <w:ilvl w:val="255"/>
          <w:numId w:val="0"/>
        </w:num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若在提前终止日之前（不含该日），参考实体发生潜在支付违约事件，宽限期的最后一个自然日在提前终止日之后（含该日），且该等潜在支付违约事件得到纠正，则本期</w:t>
      </w:r>
      <w:r>
        <w:rPr>
          <w:rFonts w:ascii="仿宋" w:eastAsia="仿宋" w:hAnsi="仿宋" w:cs="Times New Roman" w:hint="eastAsia"/>
          <w:color w:val="000000"/>
          <w:sz w:val="32"/>
          <w:szCs w:val="32"/>
        </w:rPr>
        <w:lastRenderedPageBreak/>
        <w:t>凭证仍提前终止。</w:t>
      </w:r>
    </w:p>
    <w:p w14:paraId="024C9B4E"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4FEEB223" w14:textId="77777777" w:rsidR="00D25E16" w:rsidRDefault="00D25E16">
      <w:pPr>
        <w:rPr>
          <w:rFonts w:ascii="仿宋" w:eastAsia="仿宋" w:hAnsi="仿宋" w:cs="Times New Roman" w:hint="eastAsia"/>
          <w:sz w:val="32"/>
          <w:szCs w:val="32"/>
        </w:rPr>
      </w:pPr>
      <w:bookmarkStart w:id="242" w:name="_Toc23267"/>
      <w:bookmarkStart w:id="243" w:name="_Toc69077774"/>
      <w:bookmarkStart w:id="244" w:name="_Toc3227"/>
      <w:bookmarkStart w:id="245" w:name="_Toc32432"/>
      <w:bookmarkStart w:id="246" w:name="_Toc8686"/>
      <w:bookmarkStart w:id="247" w:name="_Toc25184"/>
      <w:bookmarkStart w:id="248" w:name="_Toc530063627"/>
    </w:p>
    <w:p w14:paraId="1334C867" w14:textId="77777777" w:rsidR="00D25E16" w:rsidRDefault="00D74D86">
      <w:pPr>
        <w:keepNext/>
        <w:keepLines/>
        <w:numPr>
          <w:ilvl w:val="0"/>
          <w:numId w:val="1"/>
        </w:numPr>
        <w:spacing w:line="560" w:lineRule="exact"/>
        <w:ind w:left="0" w:firstLine="0"/>
        <w:jc w:val="center"/>
        <w:outlineLvl w:val="0"/>
        <w:rPr>
          <w:rFonts w:ascii="仿宋" w:eastAsia="仿宋" w:hAnsi="仿宋" w:cs="Times New Roman" w:hint="eastAsia"/>
          <w:b/>
          <w:bCs/>
          <w:color w:val="000000"/>
          <w:kern w:val="44"/>
          <w:sz w:val="32"/>
          <w:szCs w:val="32"/>
        </w:rPr>
      </w:pPr>
      <w:bookmarkStart w:id="249" w:name="_Toc205973732"/>
      <w:r>
        <w:rPr>
          <w:rFonts w:ascii="仿宋" w:eastAsia="仿宋" w:hAnsi="仿宋" w:cs="Times New Roman" w:hint="eastAsia"/>
          <w:b/>
          <w:bCs/>
          <w:color w:val="000000"/>
          <w:kern w:val="44"/>
          <w:sz w:val="32"/>
          <w:szCs w:val="32"/>
        </w:rPr>
        <w:t>争议的解决</w:t>
      </w:r>
      <w:bookmarkEnd w:id="242"/>
      <w:bookmarkEnd w:id="243"/>
      <w:bookmarkEnd w:id="244"/>
      <w:bookmarkEnd w:id="245"/>
      <w:bookmarkEnd w:id="246"/>
      <w:bookmarkEnd w:id="247"/>
      <w:bookmarkEnd w:id="248"/>
      <w:bookmarkEnd w:id="249"/>
    </w:p>
    <w:p w14:paraId="6AF8E02C" w14:textId="77777777" w:rsidR="00D25E16" w:rsidRDefault="00D25E16">
      <w:pPr>
        <w:spacing w:line="560" w:lineRule="exact"/>
        <w:ind w:firstLineChars="200" w:firstLine="643"/>
        <w:rPr>
          <w:rFonts w:ascii="仿宋" w:eastAsia="仿宋" w:hAnsi="仿宋" w:cs="Times New Roman" w:hint="eastAsia"/>
          <w:b/>
          <w:color w:val="000000"/>
          <w:sz w:val="32"/>
          <w:szCs w:val="32"/>
        </w:rPr>
      </w:pPr>
    </w:p>
    <w:p w14:paraId="68BCE022"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50" w:name="_Toc205973733"/>
      <w:bookmarkStart w:id="251" w:name="_Toc69077775"/>
      <w:r>
        <w:rPr>
          <w:rFonts w:ascii="仿宋" w:eastAsia="仿宋" w:hAnsi="仿宋" w:cs="Times New Roman" w:hint="eastAsia"/>
          <w:b/>
          <w:bCs/>
          <w:color w:val="000000"/>
          <w:sz w:val="32"/>
          <w:szCs w:val="32"/>
        </w:rPr>
        <w:t>一、适用法律</w:t>
      </w:r>
      <w:bookmarkEnd w:id="250"/>
      <w:bookmarkEnd w:id="251"/>
    </w:p>
    <w:p w14:paraId="30EF64C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本创设说明书适用中国法律，应根据中国法律解释。</w:t>
      </w:r>
    </w:p>
    <w:p w14:paraId="6AF9D366"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0D2FD73C"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52" w:name="_Toc205973734"/>
      <w:bookmarkStart w:id="253" w:name="_Toc69077776"/>
      <w:r>
        <w:rPr>
          <w:rFonts w:ascii="仿宋" w:eastAsia="仿宋" w:hAnsi="仿宋" w:cs="Times New Roman" w:hint="eastAsia"/>
          <w:b/>
          <w:bCs/>
          <w:color w:val="000000"/>
          <w:sz w:val="32"/>
          <w:szCs w:val="32"/>
        </w:rPr>
        <w:t>二、争议的解决方式</w:t>
      </w:r>
      <w:bookmarkEnd w:id="252"/>
      <w:bookmarkEnd w:id="253"/>
    </w:p>
    <w:p w14:paraId="7F60D0E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当创设机构或投资者发生下列事件时，创设机构和投资者可通过协商方式解决交易双方之间在本创设说明书下的任何争议、索赔或纠纷：</w:t>
      </w:r>
    </w:p>
    <w:p w14:paraId="403BA315" w14:textId="77777777" w:rsidR="00D25E16" w:rsidRDefault="00D74D86" w:rsidP="00D25E16">
      <w:pPr>
        <w:numPr>
          <w:ilvl w:val="0"/>
          <w:numId w:val="6"/>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未按照本创设说明书约定履行相应的支付或交付义务，且在未履行义务之日起三个营业日内未纠正；</w:t>
      </w:r>
    </w:p>
    <w:p w14:paraId="4AEC430E" w14:textId="77777777" w:rsidR="00D25E16" w:rsidRDefault="00D74D86" w:rsidP="00D25E16">
      <w:pPr>
        <w:numPr>
          <w:ilvl w:val="0"/>
          <w:numId w:val="6"/>
        </w:numPr>
        <w:spacing w:line="560" w:lineRule="exact"/>
        <w:ind w:left="0"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对本创设说明书下的全部或部分义务予以否认或明示拒绝履行，且在否认或明示拒绝履行之日起三个营业日内未纠正。</w:t>
      </w:r>
    </w:p>
    <w:p w14:paraId="64D55589" w14:textId="77777777" w:rsidR="00D25E16" w:rsidRDefault="00D74D86">
      <w:pPr>
        <w:spacing w:line="560" w:lineRule="exact"/>
        <w:ind w:firstLineChars="200" w:firstLine="640"/>
        <w:rPr>
          <w:rFonts w:ascii="仿宋" w:eastAsia="仿宋" w:hAnsi="仿宋" w:cs="Times New Roman" w:hint="eastAsia"/>
          <w:color w:val="000000"/>
          <w:sz w:val="32"/>
          <w:szCs w:val="32"/>
        </w:rPr>
      </w:pPr>
      <w:bookmarkStart w:id="254" w:name="_Hlk196261248"/>
      <w:r>
        <w:rPr>
          <w:rFonts w:ascii="仿宋" w:eastAsia="仿宋" w:hAnsi="仿宋" w:cs="Times New Roman" w:hint="eastAsia"/>
          <w:color w:val="000000"/>
          <w:sz w:val="32"/>
          <w:szCs w:val="32"/>
        </w:rPr>
        <w:t>创设机构和投资者就信用事件、承继事件、替代参考债务等信用事项发生争议的，可向交易商协会申请启动信用事项决定工作机制予以处理。</w:t>
      </w:r>
    </w:p>
    <w:bookmarkEnd w:id="254"/>
    <w:p w14:paraId="673F66B9"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若交易双方不进行协商或协商未果，交易双方同意将争议、索赔或纠纷提交中国国际经济贸易仲裁委员会按照届时有效的《中国国际经济贸易仲裁委员会仲裁规则》在北京以仲裁方式解决。仲裁庭由三名仲裁员组成，仲裁裁</w:t>
      </w:r>
      <w:r>
        <w:rPr>
          <w:rFonts w:ascii="仿宋" w:eastAsia="仿宋" w:hAnsi="仿宋" w:cs="Times New Roman" w:hint="eastAsia"/>
          <w:color w:val="000000"/>
          <w:sz w:val="32"/>
          <w:szCs w:val="32"/>
        </w:rPr>
        <w:lastRenderedPageBreak/>
        <w:t>决是终局的，对交易双方具有约束力。</w:t>
      </w:r>
    </w:p>
    <w:p w14:paraId="0654AE03"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但是，因投资者资金汇划路径变更未及时通知本期凭证登记托管机构而不能及时收到资金的，创设机构和凭证登记托管机构不承担由此产生的任何损失。</w:t>
      </w:r>
    </w:p>
    <w:p w14:paraId="79A464A8" w14:textId="77777777" w:rsidR="00D25E16" w:rsidRDefault="00D25E16">
      <w:pPr>
        <w:spacing w:line="560" w:lineRule="exact"/>
        <w:ind w:firstLineChars="200" w:firstLine="640"/>
        <w:rPr>
          <w:rFonts w:ascii="仿宋" w:eastAsia="仿宋" w:hAnsi="仿宋" w:cs="Times New Roman" w:hint="eastAsia"/>
          <w:color w:val="000000"/>
          <w:sz w:val="32"/>
          <w:szCs w:val="32"/>
        </w:rPr>
      </w:pPr>
    </w:p>
    <w:p w14:paraId="32B66A62"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55" w:name="_Toc69077777"/>
      <w:bookmarkStart w:id="256" w:name="_Toc30123"/>
      <w:bookmarkStart w:id="257" w:name="_Toc20497"/>
      <w:bookmarkStart w:id="258" w:name="_Toc8038"/>
      <w:bookmarkStart w:id="259" w:name="_Toc205973735"/>
      <w:bookmarkStart w:id="260" w:name="_Toc17448"/>
      <w:bookmarkStart w:id="261" w:name="_Toc530063626"/>
      <w:bookmarkStart w:id="262" w:name="_Toc26647"/>
      <w:r>
        <w:rPr>
          <w:rFonts w:ascii="仿宋" w:eastAsia="仿宋" w:hAnsi="仿宋" w:cs="Times New Roman" w:hint="eastAsia"/>
          <w:b/>
          <w:bCs/>
          <w:color w:val="000000"/>
          <w:sz w:val="32"/>
          <w:szCs w:val="32"/>
        </w:rPr>
        <w:t>三、弃权</w:t>
      </w:r>
      <w:bookmarkEnd w:id="255"/>
      <w:bookmarkEnd w:id="256"/>
      <w:bookmarkEnd w:id="257"/>
      <w:bookmarkEnd w:id="258"/>
      <w:bookmarkEnd w:id="259"/>
      <w:bookmarkEnd w:id="260"/>
      <w:bookmarkEnd w:id="261"/>
      <w:bookmarkEnd w:id="262"/>
    </w:p>
    <w:p w14:paraId="1B1BF411"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创设说明书的任何一方当事人未能行使或延迟行使本创设说明书约定的任何权利，或宣布对方违约仅适用某一特定情势，不能视作弃权，也不能视为继续对权利的放弃，致使无法对今后违约方的违约行为行使权利。任何一方当事人未行使任何权利，也不会构成</w:t>
      </w:r>
      <w:proofErr w:type="gramStart"/>
      <w:r>
        <w:rPr>
          <w:rFonts w:ascii="仿宋" w:eastAsia="仿宋" w:hAnsi="仿宋" w:cs="Times New Roman" w:hint="eastAsia"/>
          <w:color w:val="000000"/>
          <w:sz w:val="32"/>
          <w:szCs w:val="32"/>
        </w:rPr>
        <w:t>对</w:t>
      </w:r>
      <w:proofErr w:type="gramEnd"/>
      <w:r>
        <w:rPr>
          <w:rFonts w:ascii="仿宋" w:eastAsia="仿宋" w:hAnsi="仿宋" w:cs="Times New Roman" w:hint="eastAsia"/>
          <w:color w:val="000000"/>
          <w:sz w:val="32"/>
          <w:szCs w:val="32"/>
        </w:rPr>
        <w:t>对方当事人的弃权。</w:t>
      </w:r>
      <w:bookmarkStart w:id="263" w:name="_Toc31121"/>
      <w:bookmarkStart w:id="264" w:name="_Toc26078"/>
      <w:bookmarkStart w:id="265" w:name="_Toc467964305"/>
      <w:bookmarkStart w:id="266" w:name="_Toc24399"/>
      <w:bookmarkStart w:id="267" w:name="_Toc468016960"/>
      <w:bookmarkStart w:id="268" w:name="_Toc29418"/>
      <w:bookmarkStart w:id="269" w:name="_Toc530063631"/>
      <w:bookmarkStart w:id="270" w:name="_Toc22142"/>
    </w:p>
    <w:p w14:paraId="1A6EE813" w14:textId="77777777" w:rsidR="00D25E16" w:rsidRDefault="00D25E16">
      <w:pPr>
        <w:spacing w:line="560" w:lineRule="exact"/>
        <w:rPr>
          <w:rFonts w:ascii="仿宋" w:eastAsia="仿宋" w:hAnsi="仿宋" w:cs="Times New Roman" w:hint="eastAsia"/>
          <w:color w:val="000000"/>
          <w:sz w:val="32"/>
          <w:szCs w:val="32"/>
        </w:rPr>
      </w:pPr>
    </w:p>
    <w:p w14:paraId="2BC9E7B6" w14:textId="77777777" w:rsidR="00D25E16" w:rsidRDefault="00D74D86">
      <w:pPr>
        <w:numPr>
          <w:ilvl w:val="0"/>
          <w:numId w:val="1"/>
        </w:numPr>
        <w:spacing w:line="560" w:lineRule="exact"/>
        <w:ind w:left="0" w:firstLine="0"/>
        <w:jc w:val="center"/>
        <w:outlineLvl w:val="0"/>
        <w:rPr>
          <w:rFonts w:ascii="仿宋" w:eastAsia="仿宋" w:hAnsi="仿宋" w:cs="Times New Roman" w:hint="eastAsia"/>
          <w:b/>
          <w:color w:val="000000"/>
          <w:sz w:val="32"/>
          <w:szCs w:val="32"/>
        </w:rPr>
      </w:pPr>
      <w:bookmarkStart w:id="271" w:name="_Toc205973736"/>
      <w:bookmarkStart w:id="272" w:name="_Toc69077778"/>
      <w:r>
        <w:rPr>
          <w:rFonts w:ascii="仿宋" w:eastAsia="仿宋" w:hAnsi="仿宋" w:cs="Times New Roman" w:hint="eastAsia"/>
          <w:b/>
          <w:color w:val="000000"/>
          <w:sz w:val="32"/>
          <w:szCs w:val="32"/>
        </w:rPr>
        <w:t>备查文件</w:t>
      </w:r>
      <w:bookmarkEnd w:id="263"/>
      <w:bookmarkEnd w:id="264"/>
      <w:bookmarkEnd w:id="265"/>
      <w:bookmarkEnd w:id="266"/>
      <w:bookmarkEnd w:id="267"/>
      <w:bookmarkEnd w:id="268"/>
      <w:bookmarkEnd w:id="269"/>
      <w:bookmarkEnd w:id="270"/>
      <w:bookmarkEnd w:id="271"/>
      <w:bookmarkEnd w:id="272"/>
    </w:p>
    <w:p w14:paraId="7BCAFD8A" w14:textId="77777777" w:rsidR="00D25E16" w:rsidRDefault="00D25E16">
      <w:pPr>
        <w:spacing w:line="560" w:lineRule="exact"/>
        <w:ind w:firstLineChars="200" w:firstLine="640"/>
        <w:rPr>
          <w:rFonts w:ascii="仿宋" w:eastAsia="仿宋" w:hAnsi="仿宋" w:cs="Times New Roman" w:hint="eastAsia"/>
          <w:color w:val="000000"/>
          <w:sz w:val="32"/>
          <w:szCs w:val="32"/>
        </w:rPr>
      </w:pPr>
      <w:bookmarkStart w:id="273" w:name="_Toc9076"/>
      <w:bookmarkStart w:id="274" w:name="_Toc14098"/>
      <w:bookmarkStart w:id="275" w:name="_Toc530063632"/>
      <w:bookmarkStart w:id="276" w:name="_Toc468016961"/>
      <w:bookmarkStart w:id="277" w:name="_Toc467964306"/>
      <w:bookmarkStart w:id="278" w:name="_Toc31590"/>
      <w:bookmarkStart w:id="279" w:name="_Toc13777"/>
      <w:bookmarkStart w:id="280" w:name="_Toc9660"/>
    </w:p>
    <w:p w14:paraId="356DA1D3"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81" w:name="_Toc205973737"/>
      <w:bookmarkStart w:id="282" w:name="_Toc69077779"/>
      <w:r>
        <w:rPr>
          <w:rFonts w:ascii="仿宋" w:eastAsia="仿宋" w:hAnsi="仿宋" w:cs="Times New Roman" w:hint="eastAsia"/>
          <w:b/>
          <w:bCs/>
          <w:color w:val="000000"/>
          <w:sz w:val="32"/>
          <w:szCs w:val="32"/>
        </w:rPr>
        <w:t>一、备查文件清单</w:t>
      </w:r>
      <w:bookmarkEnd w:id="273"/>
      <w:bookmarkEnd w:id="274"/>
      <w:bookmarkEnd w:id="275"/>
      <w:bookmarkEnd w:id="276"/>
      <w:bookmarkEnd w:id="277"/>
      <w:bookmarkEnd w:id="278"/>
      <w:bookmarkEnd w:id="279"/>
      <w:bookmarkEnd w:id="280"/>
      <w:bookmarkEnd w:id="281"/>
      <w:bookmarkEnd w:id="282"/>
    </w:p>
    <w:p w14:paraId="49E5FDE2" w14:textId="77777777" w:rsidR="00D25E16" w:rsidRDefault="00D74D86" w:rsidP="00D25E16">
      <w:pPr>
        <w:numPr>
          <w:ilvl w:val="0"/>
          <w:numId w:val="8"/>
        </w:numPr>
        <w:spacing w:line="560" w:lineRule="exact"/>
        <w:ind w:left="0" w:firstLineChars="200" w:firstLine="640"/>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本期凭证创设说明书；</w:t>
      </w:r>
    </w:p>
    <w:p w14:paraId="1749A5F7" w14:textId="77777777" w:rsidR="00D25E16" w:rsidRDefault="00D74D86" w:rsidP="00D25E16">
      <w:pPr>
        <w:numPr>
          <w:ilvl w:val="0"/>
          <w:numId w:val="8"/>
        </w:numPr>
        <w:spacing w:line="560" w:lineRule="exact"/>
        <w:ind w:left="0" w:firstLineChars="200" w:firstLine="640"/>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创设机构近三年经审计财务报告和近一期半年度会计报表；</w:t>
      </w:r>
    </w:p>
    <w:p w14:paraId="7F70A68E" w14:textId="77777777" w:rsidR="00D25E16" w:rsidRDefault="00D74D86" w:rsidP="00D25E16">
      <w:pPr>
        <w:numPr>
          <w:ilvl w:val="0"/>
          <w:numId w:val="8"/>
        </w:numPr>
        <w:spacing w:line="560" w:lineRule="exact"/>
        <w:ind w:left="0" w:firstLineChars="200" w:firstLine="640"/>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【创设机构届时有效的信用评级报告及跟踪评级报告】</w:t>
      </w:r>
      <w:r>
        <w:rPr>
          <w:rFonts w:ascii="仿宋" w:eastAsia="仿宋" w:hAnsi="仿宋" w:cs="Times New Roman" w:hint="eastAsia"/>
          <w:color w:val="000000"/>
          <w:sz w:val="32"/>
          <w:szCs w:val="32"/>
          <w:vertAlign w:val="superscript"/>
        </w:rPr>
        <w:footnoteReference w:id="84"/>
      </w:r>
      <w:r>
        <w:rPr>
          <w:rFonts w:ascii="仿宋" w:eastAsia="仿宋" w:hAnsi="仿宋" w:cs="Times New Roman" w:hint="eastAsia"/>
          <w:color w:val="000000"/>
          <w:sz w:val="32"/>
          <w:szCs w:val="32"/>
        </w:rPr>
        <w:t>。</w:t>
      </w:r>
    </w:p>
    <w:p w14:paraId="1FB28DC6" w14:textId="77777777" w:rsidR="00D25E16" w:rsidRDefault="00D25E16">
      <w:pPr>
        <w:spacing w:line="560" w:lineRule="exact"/>
        <w:jc w:val="left"/>
        <w:rPr>
          <w:rFonts w:ascii="仿宋" w:eastAsia="仿宋" w:hAnsi="仿宋" w:cs="Times New Roman" w:hint="eastAsia"/>
          <w:color w:val="000000"/>
          <w:sz w:val="32"/>
          <w:szCs w:val="32"/>
        </w:rPr>
      </w:pPr>
    </w:p>
    <w:p w14:paraId="1FF5A5E5" w14:textId="77777777" w:rsidR="00D25E16" w:rsidRDefault="00D74D86">
      <w:pPr>
        <w:keepNext/>
        <w:keepLines/>
        <w:spacing w:line="560" w:lineRule="exact"/>
        <w:ind w:firstLineChars="200" w:firstLine="643"/>
        <w:outlineLvl w:val="1"/>
        <w:rPr>
          <w:rFonts w:ascii="仿宋" w:eastAsia="仿宋" w:hAnsi="仿宋" w:cs="Times New Roman" w:hint="eastAsia"/>
          <w:b/>
          <w:bCs/>
          <w:color w:val="000000"/>
          <w:sz w:val="32"/>
          <w:szCs w:val="32"/>
        </w:rPr>
      </w:pPr>
      <w:bookmarkStart w:id="283" w:name="_Toc23249"/>
      <w:bookmarkStart w:id="284" w:name="_Toc69077780"/>
      <w:bookmarkStart w:id="285" w:name="_Toc13878"/>
      <w:bookmarkStart w:id="286" w:name="_Toc467964307"/>
      <w:bookmarkStart w:id="287" w:name="_Toc15753"/>
      <w:bookmarkStart w:id="288" w:name="_Toc205973738"/>
      <w:bookmarkStart w:id="289" w:name="_Toc32481"/>
      <w:bookmarkStart w:id="290" w:name="_Toc22519"/>
      <w:bookmarkStart w:id="291" w:name="_Toc530063633"/>
      <w:bookmarkStart w:id="292" w:name="_Toc468016962"/>
      <w:r>
        <w:rPr>
          <w:rFonts w:ascii="仿宋" w:eastAsia="仿宋" w:hAnsi="仿宋" w:cs="Times New Roman" w:hint="eastAsia"/>
          <w:b/>
          <w:bCs/>
          <w:color w:val="000000"/>
          <w:sz w:val="32"/>
          <w:szCs w:val="32"/>
        </w:rPr>
        <w:lastRenderedPageBreak/>
        <w:t>二、查询地址</w:t>
      </w:r>
      <w:bookmarkEnd w:id="283"/>
      <w:bookmarkEnd w:id="284"/>
      <w:bookmarkEnd w:id="285"/>
      <w:bookmarkEnd w:id="286"/>
      <w:bookmarkEnd w:id="287"/>
      <w:bookmarkEnd w:id="288"/>
      <w:bookmarkEnd w:id="289"/>
      <w:bookmarkEnd w:id="290"/>
      <w:bookmarkEnd w:id="291"/>
      <w:bookmarkEnd w:id="292"/>
    </w:p>
    <w:p w14:paraId="2DEA082D"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投资者可以在下列网址查阅本创设说明书全文及上述备查文件</w:t>
      </w:r>
      <w:r>
        <w:rPr>
          <w:rFonts w:ascii="仿宋" w:eastAsia="仿宋" w:hAnsi="仿宋" w:cs="Times New Roman" w:hint="eastAsia"/>
          <w:color w:val="000000"/>
          <w:sz w:val="32"/>
          <w:szCs w:val="32"/>
          <w:vertAlign w:val="superscript"/>
        </w:rPr>
        <w:footnoteReference w:id="85"/>
      </w:r>
      <w:r>
        <w:rPr>
          <w:rFonts w:ascii="仿宋" w:eastAsia="仿宋" w:hAnsi="仿宋" w:cs="Times New Roman" w:hint="eastAsia"/>
          <w:color w:val="000000"/>
          <w:sz w:val="32"/>
          <w:szCs w:val="32"/>
        </w:rPr>
        <w:t>：</w:t>
      </w:r>
    </w:p>
    <w:p w14:paraId="064872DA"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交易商协会网站：www.nafmii.org.cn</w:t>
      </w:r>
    </w:p>
    <w:p w14:paraId="246ADA2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中 国 货 币 网：www.chinamoney.com.cn</w:t>
      </w:r>
    </w:p>
    <w:p w14:paraId="323F0206"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上海清算所网站：www.shclearing.com.cn</w:t>
      </w:r>
    </w:p>
    <w:p w14:paraId="363D7872" w14:textId="77777777" w:rsidR="00D25E16" w:rsidRDefault="00D74D86">
      <w:pPr>
        <w:spacing w:line="560" w:lineRule="exact"/>
        <w:ind w:firstLineChars="200" w:firstLine="640"/>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t>北京金融资产交易所网站：www.cfae.cn</w:t>
      </w:r>
    </w:p>
    <w:p w14:paraId="6F428634" w14:textId="77777777" w:rsidR="00D25E16" w:rsidRDefault="00D74D86">
      <w:pPr>
        <w:spacing w:line="560" w:lineRule="exact"/>
        <w:ind w:firstLineChars="200" w:firstLine="640"/>
        <w:rPr>
          <w:rFonts w:ascii="仿宋" w:eastAsia="仿宋" w:hAnsi="仿宋" w:cs="Times New Roman" w:hint="eastAsia"/>
          <w:b/>
          <w:color w:val="000000"/>
          <w:sz w:val="32"/>
          <w:szCs w:val="32"/>
        </w:rPr>
      </w:pPr>
      <w:r>
        <w:rPr>
          <w:rFonts w:ascii="仿宋" w:eastAsia="仿宋" w:hAnsi="仿宋" w:cs="Times New Roman" w:hint="eastAsia"/>
          <w:color w:val="000000"/>
          <w:sz w:val="32"/>
          <w:szCs w:val="32"/>
        </w:rPr>
        <w:t>如对本创设说明书或上述备查文件有任何疑问，可以咨询创设机构。</w:t>
      </w:r>
    </w:p>
    <w:p w14:paraId="66235C18" w14:textId="77777777" w:rsidR="00D25E16" w:rsidRDefault="00D74D86">
      <w:pPr>
        <w:spacing w:line="560" w:lineRule="exact"/>
        <w:jc w:val="left"/>
        <w:rPr>
          <w:rFonts w:ascii="仿宋" w:eastAsia="仿宋" w:hAnsi="仿宋" w:cs="Times New Roman" w:hint="eastAsia"/>
          <w:color w:val="000000"/>
          <w:sz w:val="32"/>
          <w:szCs w:val="32"/>
        </w:rPr>
      </w:pPr>
      <w:r>
        <w:rPr>
          <w:rFonts w:ascii="仿宋" w:eastAsia="仿宋" w:hAnsi="仿宋" w:cs="Times New Roman" w:hint="eastAsia"/>
          <w:color w:val="000000"/>
          <w:sz w:val="32"/>
          <w:szCs w:val="32"/>
        </w:rPr>
        <w:br w:type="page"/>
      </w:r>
      <w:r>
        <w:rPr>
          <w:rFonts w:ascii="仿宋" w:eastAsia="仿宋" w:hAnsi="仿宋" w:cs="Times New Roman" w:hint="eastAsia"/>
          <w:color w:val="000000"/>
          <w:sz w:val="32"/>
          <w:szCs w:val="32"/>
        </w:rPr>
        <w:lastRenderedPageBreak/>
        <w:t>（本页无正文，为《【本期凭证全称】创设说明书》之盖章页）</w:t>
      </w:r>
    </w:p>
    <w:p w14:paraId="7590F170"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548B4508"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7DE41ABF"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32E2FF3C"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49665F5D"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77653FF5"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02539DA8"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5CD3EF0D"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4986A855" w14:textId="77777777" w:rsidR="00D25E16" w:rsidRDefault="00D25E16">
      <w:pPr>
        <w:spacing w:line="560" w:lineRule="exact"/>
        <w:ind w:firstLineChars="200" w:firstLine="640"/>
        <w:jc w:val="left"/>
        <w:rPr>
          <w:rFonts w:ascii="仿宋" w:eastAsia="仿宋" w:hAnsi="仿宋" w:cs="Times New Roman" w:hint="eastAsia"/>
          <w:color w:val="000000"/>
          <w:sz w:val="32"/>
          <w:szCs w:val="32"/>
        </w:rPr>
      </w:pPr>
    </w:p>
    <w:p w14:paraId="4DF490DB" w14:textId="77777777" w:rsidR="00D25E16" w:rsidRDefault="00D74D86">
      <w:pPr>
        <w:widowControl/>
        <w:spacing w:line="560" w:lineRule="exact"/>
        <w:ind w:firstLineChars="200" w:firstLine="640"/>
        <w:jc w:val="right"/>
        <w:rPr>
          <w:rFonts w:ascii="仿宋" w:eastAsia="仿宋" w:hAnsi="仿宋" w:cs="楷体_GB2312" w:hint="eastAsia"/>
          <w:color w:val="000000"/>
          <w:kern w:val="0"/>
          <w:sz w:val="32"/>
          <w:szCs w:val="32"/>
        </w:rPr>
      </w:pPr>
      <w:r>
        <w:rPr>
          <w:rFonts w:ascii="仿宋" w:eastAsia="仿宋" w:hAnsi="仿宋" w:cs="楷体_GB2312" w:hint="eastAsia"/>
          <w:color w:val="000000"/>
          <w:kern w:val="0"/>
          <w:sz w:val="32"/>
          <w:szCs w:val="32"/>
        </w:rPr>
        <w:t>【创设机构全称及单位公章】</w:t>
      </w:r>
    </w:p>
    <w:p w14:paraId="3A660271"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76787D91" w14:textId="77777777" w:rsidR="00D25E16" w:rsidRDefault="00D74D86">
      <w:pPr>
        <w:spacing w:line="560" w:lineRule="exact"/>
        <w:jc w:val="left"/>
        <w:rPr>
          <w:rFonts w:ascii="仿宋" w:eastAsia="仿宋" w:hAnsi="仿宋" w:cs="楷体_GB2312" w:hint="eastAsia"/>
          <w:color w:val="000000"/>
          <w:kern w:val="0"/>
          <w:sz w:val="32"/>
          <w:szCs w:val="32"/>
        </w:rPr>
      </w:pPr>
      <w:r>
        <w:rPr>
          <w:rFonts w:ascii="仿宋" w:eastAsia="仿宋" w:hAnsi="仿宋" w:cs="Times New Roman" w:hint="eastAsia"/>
          <w:color w:val="000000"/>
          <w:sz w:val="32"/>
          <w:szCs w:val="32"/>
        </w:rPr>
        <w:br w:type="page"/>
      </w:r>
      <w:bookmarkStart w:id="293" w:name="_Toc27484"/>
      <w:bookmarkStart w:id="294" w:name="_Toc69077781"/>
      <w:bookmarkStart w:id="295" w:name="_Toc530063634"/>
      <w:r>
        <w:rPr>
          <w:rFonts w:ascii="仿宋" w:eastAsia="仿宋" w:hAnsi="仿宋" w:cs="楷体_GB2312" w:hint="eastAsia"/>
          <w:color w:val="000000"/>
          <w:kern w:val="0"/>
          <w:sz w:val="32"/>
          <w:szCs w:val="32"/>
        </w:rPr>
        <w:lastRenderedPageBreak/>
        <w:t>附件</w:t>
      </w:r>
      <w:bookmarkEnd w:id="293"/>
      <w:bookmarkEnd w:id="294"/>
      <w:bookmarkEnd w:id="295"/>
      <w:r>
        <w:rPr>
          <w:rFonts w:ascii="仿宋" w:eastAsia="仿宋" w:hAnsi="仿宋" w:cs="楷体_GB2312" w:hint="eastAsia"/>
          <w:color w:val="000000"/>
          <w:kern w:val="0"/>
          <w:sz w:val="32"/>
          <w:szCs w:val="32"/>
        </w:rPr>
        <w:t>1：</w:t>
      </w:r>
    </w:p>
    <w:p w14:paraId="07761FB0"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296" w:name="_Toc80692441"/>
      <w:bookmarkStart w:id="297" w:name="_Toc205973739"/>
      <w:r>
        <w:rPr>
          <w:rFonts w:ascii="方正小标宋简体" w:eastAsia="方正小标宋简体" w:hAnsi="仿宋" w:cs="楷体_GB2312" w:hint="eastAsia"/>
          <w:bCs/>
          <w:kern w:val="0"/>
          <w:sz w:val="44"/>
          <w:szCs w:val="44"/>
        </w:rPr>
        <w:t>【本期凭证全称】申购要约</w:t>
      </w:r>
      <w:bookmarkEnd w:id="296"/>
      <w:bookmarkEnd w:id="297"/>
    </w:p>
    <w:p w14:paraId="59AA47BA" w14:textId="77777777" w:rsidR="00D25E16" w:rsidRDefault="00D25E16">
      <w:pPr>
        <w:widowControl/>
        <w:spacing w:line="560" w:lineRule="exact"/>
        <w:jc w:val="left"/>
        <w:rPr>
          <w:rFonts w:ascii="仿宋" w:eastAsia="仿宋" w:hAnsi="仿宋" w:cs="楷体_GB2312" w:hint="eastAsia"/>
          <w:color w:val="000000"/>
          <w:kern w:val="0"/>
          <w:sz w:val="32"/>
          <w:szCs w:val="32"/>
        </w:rPr>
      </w:pPr>
    </w:p>
    <w:p w14:paraId="748E8B86" w14:textId="77777777" w:rsidR="00D25E16" w:rsidRDefault="00D74D86">
      <w:pPr>
        <w:widowControl/>
        <w:spacing w:line="560" w:lineRule="exact"/>
        <w:jc w:val="left"/>
        <w:rPr>
          <w:rFonts w:ascii="仿宋" w:eastAsia="仿宋" w:hAnsi="仿宋" w:cs="楷体_GB2312" w:hint="eastAsia"/>
          <w:color w:val="000000"/>
          <w:kern w:val="0"/>
          <w:sz w:val="32"/>
          <w:szCs w:val="32"/>
        </w:rPr>
      </w:pPr>
      <w:r>
        <w:rPr>
          <w:rFonts w:ascii="仿宋" w:eastAsia="仿宋" w:hAnsi="仿宋" w:cs="楷体_GB2312" w:hint="eastAsia"/>
          <w:color w:val="000000"/>
          <w:kern w:val="0"/>
          <w:sz w:val="32"/>
          <w:szCs w:val="32"/>
        </w:rPr>
        <w:t>【创设机构全称】：</w:t>
      </w:r>
    </w:p>
    <w:p w14:paraId="1B8B9588" w14:textId="77777777" w:rsidR="00D25E16" w:rsidRDefault="00D74D86" w:rsidP="00D25E1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color w:val="000000"/>
          <w:kern w:val="0"/>
          <w:sz w:val="32"/>
          <w:szCs w:val="32"/>
        </w:rPr>
        <w:t>本单位【投资者全称】</w:t>
      </w:r>
      <w:bookmarkStart w:id="298" w:name="_Toc17014_WPSOffice_Level2"/>
      <w:r>
        <w:rPr>
          <w:rFonts w:ascii="仿宋" w:eastAsia="仿宋" w:hAnsi="仿宋" w:cs="楷体_GB2312" w:hint="eastAsia"/>
          <w:color w:val="000000"/>
          <w:kern w:val="0"/>
          <w:sz w:val="32"/>
          <w:szCs w:val="32"/>
        </w:rPr>
        <w:t>作为信用风险缓释工具【核心交易商/一般交易商】已签署和备案《中国银行间市场金融衍生产品交易主协议（凭证特别版）》，在此同意并确认按下表信用保护费费率及名义本金金额向贵单位</w:t>
      </w:r>
      <w:bookmarkEnd w:id="298"/>
      <w:r>
        <w:rPr>
          <w:rFonts w:ascii="仿宋" w:eastAsia="仿宋" w:hAnsi="仿宋" w:cs="楷体_GB2312" w:hint="eastAsia"/>
          <w:color w:val="000000"/>
          <w:kern w:val="0"/>
          <w:sz w:val="32"/>
          <w:szCs w:val="32"/>
        </w:rPr>
        <w:t>申购【本期凭证全称】</w:t>
      </w:r>
      <w:r>
        <w:rPr>
          <w:rFonts w:ascii="仿宋" w:eastAsia="仿宋" w:hAnsi="仿宋" w:cs="楷体_GB2312" w:hint="eastAsia"/>
          <w:kern w:val="0"/>
          <w:sz w:val="32"/>
          <w:szCs w:val="32"/>
        </w:rPr>
        <w:t>。</w:t>
      </w:r>
      <w:r>
        <w:rPr>
          <w:rFonts w:ascii="仿宋" w:eastAsia="仿宋" w:hAnsi="仿宋" w:cs="楷体_GB2312" w:hint="eastAsia"/>
          <w:kern w:val="0"/>
          <w:sz w:val="32"/>
          <w:szCs w:val="32"/>
          <w:vertAlign w:val="superscript"/>
        </w:rPr>
        <w:footnoteReference w:id="86"/>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D25E16" w14:paraId="1D8AFD5E" w14:textId="77777777">
        <w:tc>
          <w:tcPr>
            <w:tcW w:w="4261" w:type="dxa"/>
          </w:tcPr>
          <w:p w14:paraId="54F45401"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申购信用保护费费率</w:t>
            </w:r>
          </w:p>
        </w:tc>
        <w:tc>
          <w:tcPr>
            <w:tcW w:w="4261" w:type="dxa"/>
          </w:tcPr>
          <w:p w14:paraId="3C477CC9"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申购名义本金金额（万元）</w:t>
            </w:r>
          </w:p>
        </w:tc>
      </w:tr>
      <w:tr w:rsidR="00D25E16" w14:paraId="0D34DFB3" w14:textId="77777777">
        <w:tc>
          <w:tcPr>
            <w:tcW w:w="4261" w:type="dxa"/>
          </w:tcPr>
          <w:p w14:paraId="7826CA86"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w:t>
            </w:r>
          </w:p>
        </w:tc>
        <w:tc>
          <w:tcPr>
            <w:tcW w:w="4261" w:type="dxa"/>
          </w:tcPr>
          <w:p w14:paraId="03346C8C" w14:textId="77777777" w:rsidR="00D25E16" w:rsidRDefault="00D25E16">
            <w:pPr>
              <w:widowControl/>
              <w:spacing w:line="460" w:lineRule="exact"/>
              <w:jc w:val="center"/>
              <w:rPr>
                <w:rFonts w:ascii="仿宋" w:eastAsia="仿宋" w:hAnsi="仿宋" w:cs="楷体_GB2312" w:hint="eastAsia"/>
                <w:kern w:val="0"/>
                <w:sz w:val="28"/>
                <w:szCs w:val="28"/>
              </w:rPr>
            </w:pPr>
          </w:p>
        </w:tc>
      </w:tr>
    </w:tbl>
    <w:p w14:paraId="40768948" w14:textId="77777777" w:rsidR="00D25E16" w:rsidRDefault="00D74D86">
      <w:pPr>
        <w:widowControl/>
        <w:spacing w:line="560" w:lineRule="exact"/>
        <w:jc w:val="center"/>
        <w:rPr>
          <w:rFonts w:ascii="仿宋" w:eastAsia="仿宋" w:hAnsi="仿宋" w:cs="楷体_GB2312" w:hint="eastAsia"/>
          <w:b/>
          <w:kern w:val="0"/>
          <w:sz w:val="32"/>
          <w:szCs w:val="32"/>
        </w:rPr>
      </w:pPr>
      <w:bookmarkStart w:id="299" w:name="_Toc23145_WPSOffice_Level2"/>
      <w:r>
        <w:rPr>
          <w:rFonts w:ascii="仿宋" w:eastAsia="仿宋" w:hAnsi="仿宋" w:cs="楷体_GB2312" w:hint="eastAsia"/>
          <w:b/>
          <w:kern w:val="0"/>
          <w:sz w:val="32"/>
          <w:szCs w:val="32"/>
        </w:rPr>
        <w:t>申购单位信息</w:t>
      </w:r>
      <w:bookmarkEnd w:id="299"/>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D25E16" w14:paraId="3BFFDDC2" w14:textId="77777777">
        <w:tc>
          <w:tcPr>
            <w:tcW w:w="2130" w:type="dxa"/>
            <w:vAlign w:val="center"/>
          </w:tcPr>
          <w:p w14:paraId="1E7D62EB"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单位全称</w:t>
            </w:r>
          </w:p>
        </w:tc>
        <w:tc>
          <w:tcPr>
            <w:tcW w:w="6392" w:type="dxa"/>
            <w:gridSpan w:val="3"/>
            <w:vAlign w:val="center"/>
          </w:tcPr>
          <w:p w14:paraId="4B489EC6"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3CA106E1" w14:textId="77777777">
        <w:tc>
          <w:tcPr>
            <w:tcW w:w="2130" w:type="dxa"/>
            <w:vAlign w:val="center"/>
          </w:tcPr>
          <w:p w14:paraId="61EB2E6C"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经办人姓名</w:t>
            </w:r>
          </w:p>
        </w:tc>
        <w:tc>
          <w:tcPr>
            <w:tcW w:w="2130" w:type="dxa"/>
            <w:vAlign w:val="center"/>
          </w:tcPr>
          <w:p w14:paraId="1660C200" w14:textId="77777777" w:rsidR="00D25E16" w:rsidRDefault="00D25E16">
            <w:pPr>
              <w:widowControl/>
              <w:spacing w:line="460" w:lineRule="exact"/>
              <w:jc w:val="center"/>
              <w:rPr>
                <w:rFonts w:ascii="仿宋" w:eastAsia="仿宋" w:hAnsi="仿宋" w:cs="楷体_GB2312" w:hint="eastAsia"/>
                <w:kern w:val="0"/>
                <w:sz w:val="28"/>
                <w:szCs w:val="28"/>
              </w:rPr>
            </w:pPr>
          </w:p>
        </w:tc>
        <w:tc>
          <w:tcPr>
            <w:tcW w:w="2131" w:type="dxa"/>
            <w:vAlign w:val="center"/>
          </w:tcPr>
          <w:p w14:paraId="18FF2888"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传真号码</w:t>
            </w:r>
          </w:p>
        </w:tc>
        <w:tc>
          <w:tcPr>
            <w:tcW w:w="2131" w:type="dxa"/>
            <w:vAlign w:val="center"/>
          </w:tcPr>
          <w:p w14:paraId="0FC2BB88"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12DCF97E" w14:textId="77777777">
        <w:tc>
          <w:tcPr>
            <w:tcW w:w="2130" w:type="dxa"/>
            <w:vAlign w:val="center"/>
          </w:tcPr>
          <w:p w14:paraId="0891C19B"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联系电话</w:t>
            </w:r>
          </w:p>
        </w:tc>
        <w:tc>
          <w:tcPr>
            <w:tcW w:w="2130" w:type="dxa"/>
            <w:vAlign w:val="center"/>
          </w:tcPr>
          <w:p w14:paraId="5ABCFEF2" w14:textId="77777777" w:rsidR="00D25E16" w:rsidRDefault="00D25E16">
            <w:pPr>
              <w:widowControl/>
              <w:spacing w:line="460" w:lineRule="exact"/>
              <w:jc w:val="center"/>
              <w:rPr>
                <w:rFonts w:ascii="仿宋" w:eastAsia="仿宋" w:hAnsi="仿宋" w:cs="楷体_GB2312" w:hint="eastAsia"/>
                <w:kern w:val="0"/>
                <w:sz w:val="28"/>
                <w:szCs w:val="28"/>
              </w:rPr>
            </w:pPr>
          </w:p>
        </w:tc>
        <w:tc>
          <w:tcPr>
            <w:tcW w:w="2131" w:type="dxa"/>
            <w:vAlign w:val="center"/>
          </w:tcPr>
          <w:p w14:paraId="1F8D6721"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电子邮件</w:t>
            </w:r>
          </w:p>
        </w:tc>
        <w:tc>
          <w:tcPr>
            <w:tcW w:w="2131" w:type="dxa"/>
            <w:vAlign w:val="center"/>
          </w:tcPr>
          <w:p w14:paraId="0EBA0EF8"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70AACD78" w14:textId="77777777">
        <w:trPr>
          <w:trHeight w:val="331"/>
        </w:trPr>
        <w:tc>
          <w:tcPr>
            <w:tcW w:w="2130" w:type="dxa"/>
            <w:vAlign w:val="center"/>
          </w:tcPr>
          <w:p w14:paraId="425C0F7F"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手机</w:t>
            </w:r>
          </w:p>
        </w:tc>
        <w:tc>
          <w:tcPr>
            <w:tcW w:w="6392" w:type="dxa"/>
            <w:gridSpan w:val="3"/>
            <w:vAlign w:val="center"/>
          </w:tcPr>
          <w:p w14:paraId="60CB41DE"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469D6717" w14:textId="77777777">
        <w:tc>
          <w:tcPr>
            <w:tcW w:w="2130" w:type="dxa"/>
            <w:vMerge w:val="restart"/>
            <w:vAlign w:val="center"/>
          </w:tcPr>
          <w:p w14:paraId="63995D0B"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上海清算所托管账户信息</w:t>
            </w:r>
          </w:p>
        </w:tc>
        <w:tc>
          <w:tcPr>
            <w:tcW w:w="2130" w:type="dxa"/>
            <w:vAlign w:val="center"/>
          </w:tcPr>
          <w:p w14:paraId="0D9350EE"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托管账户户名</w:t>
            </w:r>
          </w:p>
        </w:tc>
        <w:tc>
          <w:tcPr>
            <w:tcW w:w="4262" w:type="dxa"/>
            <w:gridSpan w:val="2"/>
            <w:vAlign w:val="center"/>
          </w:tcPr>
          <w:p w14:paraId="67947D72"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765215D3" w14:textId="77777777">
        <w:tc>
          <w:tcPr>
            <w:tcW w:w="2130" w:type="dxa"/>
            <w:vMerge/>
            <w:vAlign w:val="center"/>
          </w:tcPr>
          <w:p w14:paraId="1F88ADAE" w14:textId="77777777" w:rsidR="00D25E16" w:rsidRDefault="00D25E16">
            <w:pPr>
              <w:widowControl/>
              <w:spacing w:line="460" w:lineRule="exact"/>
              <w:jc w:val="center"/>
              <w:rPr>
                <w:rFonts w:ascii="仿宋" w:eastAsia="仿宋" w:hAnsi="仿宋" w:cs="楷体_GB2312" w:hint="eastAsia"/>
                <w:kern w:val="0"/>
                <w:sz w:val="28"/>
                <w:szCs w:val="28"/>
              </w:rPr>
            </w:pPr>
          </w:p>
        </w:tc>
        <w:tc>
          <w:tcPr>
            <w:tcW w:w="2130" w:type="dxa"/>
            <w:vAlign w:val="center"/>
          </w:tcPr>
          <w:p w14:paraId="597BBB42"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托管账户账号</w:t>
            </w:r>
          </w:p>
        </w:tc>
        <w:tc>
          <w:tcPr>
            <w:tcW w:w="4262" w:type="dxa"/>
            <w:gridSpan w:val="2"/>
            <w:vAlign w:val="center"/>
          </w:tcPr>
          <w:p w14:paraId="7ACBC504"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707B935D" w14:textId="77777777">
        <w:tc>
          <w:tcPr>
            <w:tcW w:w="2130" w:type="dxa"/>
            <w:vMerge w:val="restart"/>
            <w:vAlign w:val="center"/>
          </w:tcPr>
          <w:p w14:paraId="461C24BB"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资金账户信息</w:t>
            </w:r>
          </w:p>
        </w:tc>
        <w:tc>
          <w:tcPr>
            <w:tcW w:w="2130" w:type="dxa"/>
            <w:vAlign w:val="center"/>
          </w:tcPr>
          <w:p w14:paraId="40B9F51F"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资金账户名</w:t>
            </w:r>
          </w:p>
        </w:tc>
        <w:tc>
          <w:tcPr>
            <w:tcW w:w="4262" w:type="dxa"/>
            <w:gridSpan w:val="2"/>
            <w:vAlign w:val="center"/>
          </w:tcPr>
          <w:p w14:paraId="38FD8246"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05ED0D26" w14:textId="77777777">
        <w:tc>
          <w:tcPr>
            <w:tcW w:w="2130" w:type="dxa"/>
            <w:vMerge/>
            <w:vAlign w:val="center"/>
          </w:tcPr>
          <w:p w14:paraId="4FD1521E" w14:textId="77777777" w:rsidR="00D25E16" w:rsidRDefault="00D25E16">
            <w:pPr>
              <w:widowControl/>
              <w:spacing w:line="460" w:lineRule="exact"/>
              <w:jc w:val="center"/>
              <w:rPr>
                <w:rFonts w:ascii="仿宋" w:eastAsia="仿宋" w:hAnsi="仿宋" w:cs="楷体_GB2312" w:hint="eastAsia"/>
                <w:kern w:val="0"/>
                <w:sz w:val="28"/>
                <w:szCs w:val="28"/>
              </w:rPr>
            </w:pPr>
          </w:p>
        </w:tc>
        <w:tc>
          <w:tcPr>
            <w:tcW w:w="2130" w:type="dxa"/>
            <w:vAlign w:val="center"/>
          </w:tcPr>
          <w:p w14:paraId="2C482224"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资金账号</w:t>
            </w:r>
          </w:p>
        </w:tc>
        <w:tc>
          <w:tcPr>
            <w:tcW w:w="4262" w:type="dxa"/>
            <w:gridSpan w:val="2"/>
            <w:vAlign w:val="center"/>
          </w:tcPr>
          <w:p w14:paraId="66527F5D"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6AA5DB56" w14:textId="77777777">
        <w:tc>
          <w:tcPr>
            <w:tcW w:w="2130" w:type="dxa"/>
            <w:vMerge/>
            <w:vAlign w:val="center"/>
          </w:tcPr>
          <w:p w14:paraId="721E0FAB" w14:textId="77777777" w:rsidR="00D25E16" w:rsidRDefault="00D25E16">
            <w:pPr>
              <w:widowControl/>
              <w:spacing w:line="460" w:lineRule="exact"/>
              <w:jc w:val="center"/>
              <w:rPr>
                <w:rFonts w:ascii="仿宋" w:eastAsia="仿宋" w:hAnsi="仿宋" w:cs="楷体_GB2312" w:hint="eastAsia"/>
                <w:kern w:val="0"/>
                <w:sz w:val="28"/>
                <w:szCs w:val="28"/>
              </w:rPr>
            </w:pPr>
          </w:p>
        </w:tc>
        <w:tc>
          <w:tcPr>
            <w:tcW w:w="2130" w:type="dxa"/>
            <w:vAlign w:val="center"/>
          </w:tcPr>
          <w:p w14:paraId="064BFB0D"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开户行</w:t>
            </w:r>
          </w:p>
        </w:tc>
        <w:tc>
          <w:tcPr>
            <w:tcW w:w="4262" w:type="dxa"/>
            <w:gridSpan w:val="2"/>
            <w:vAlign w:val="center"/>
          </w:tcPr>
          <w:p w14:paraId="2BEAD2CD" w14:textId="77777777" w:rsidR="00D25E16" w:rsidRDefault="00D25E16">
            <w:pPr>
              <w:widowControl/>
              <w:spacing w:line="460" w:lineRule="exact"/>
              <w:jc w:val="center"/>
              <w:rPr>
                <w:rFonts w:ascii="仿宋" w:eastAsia="仿宋" w:hAnsi="仿宋" w:cs="楷体_GB2312" w:hint="eastAsia"/>
                <w:kern w:val="0"/>
                <w:sz w:val="28"/>
                <w:szCs w:val="28"/>
              </w:rPr>
            </w:pPr>
          </w:p>
        </w:tc>
      </w:tr>
      <w:tr w:rsidR="00D25E16" w14:paraId="49366C37" w14:textId="77777777">
        <w:tc>
          <w:tcPr>
            <w:tcW w:w="2130" w:type="dxa"/>
            <w:vMerge/>
            <w:vAlign w:val="center"/>
          </w:tcPr>
          <w:p w14:paraId="77DC5C6A" w14:textId="77777777" w:rsidR="00D25E16" w:rsidRDefault="00D25E16">
            <w:pPr>
              <w:widowControl/>
              <w:spacing w:line="460" w:lineRule="exact"/>
              <w:jc w:val="center"/>
              <w:rPr>
                <w:rFonts w:ascii="仿宋" w:eastAsia="仿宋" w:hAnsi="仿宋" w:cs="楷体_GB2312" w:hint="eastAsia"/>
                <w:kern w:val="0"/>
                <w:sz w:val="28"/>
                <w:szCs w:val="28"/>
              </w:rPr>
            </w:pPr>
          </w:p>
        </w:tc>
        <w:tc>
          <w:tcPr>
            <w:tcW w:w="2130" w:type="dxa"/>
            <w:vAlign w:val="center"/>
          </w:tcPr>
          <w:p w14:paraId="5BD2371B"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支付系统行号</w:t>
            </w:r>
          </w:p>
        </w:tc>
        <w:tc>
          <w:tcPr>
            <w:tcW w:w="4262" w:type="dxa"/>
            <w:gridSpan w:val="2"/>
            <w:vAlign w:val="center"/>
          </w:tcPr>
          <w:p w14:paraId="2A98F687" w14:textId="77777777" w:rsidR="00D25E16" w:rsidRDefault="00D25E16">
            <w:pPr>
              <w:widowControl/>
              <w:spacing w:line="460" w:lineRule="exact"/>
              <w:jc w:val="center"/>
              <w:rPr>
                <w:rFonts w:ascii="仿宋" w:eastAsia="仿宋" w:hAnsi="仿宋" w:cs="楷体_GB2312" w:hint="eastAsia"/>
                <w:kern w:val="0"/>
                <w:sz w:val="28"/>
                <w:szCs w:val="28"/>
              </w:rPr>
            </w:pPr>
          </w:p>
        </w:tc>
      </w:tr>
    </w:tbl>
    <w:p w14:paraId="47E24549" w14:textId="77777777" w:rsidR="00D25E16" w:rsidRDefault="00D25E16">
      <w:pPr>
        <w:widowControl/>
        <w:spacing w:line="560" w:lineRule="exact"/>
        <w:ind w:firstLineChars="200" w:firstLine="640"/>
        <w:jc w:val="right"/>
        <w:rPr>
          <w:rFonts w:ascii="仿宋" w:eastAsia="仿宋" w:hAnsi="仿宋" w:cs="楷体_GB2312" w:hint="eastAsia"/>
          <w:kern w:val="0"/>
          <w:sz w:val="32"/>
          <w:szCs w:val="32"/>
        </w:rPr>
      </w:pPr>
      <w:bookmarkStart w:id="300" w:name="_Toc19704_WPSOffice_Level2"/>
    </w:p>
    <w:p w14:paraId="4E88CA0D"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【申购单位公章或业务章</w:t>
      </w:r>
      <w:bookmarkEnd w:id="300"/>
      <w:r>
        <w:rPr>
          <w:rFonts w:ascii="仿宋" w:eastAsia="仿宋" w:hAnsi="仿宋" w:cs="楷体_GB2312" w:hint="eastAsia"/>
          <w:kern w:val="0"/>
          <w:sz w:val="32"/>
          <w:szCs w:val="32"/>
        </w:rPr>
        <w:t>】</w:t>
      </w:r>
    </w:p>
    <w:p w14:paraId="70BC27F7" w14:textId="77777777" w:rsidR="00D25E16" w:rsidRDefault="00D74D86">
      <w:pPr>
        <w:wordWrap w:val="0"/>
        <w:spacing w:line="560" w:lineRule="exact"/>
        <w:jc w:val="right"/>
        <w:rPr>
          <w:rFonts w:ascii="仿宋" w:eastAsia="仿宋" w:hAnsi="仿宋" w:cs="Times New Roman" w:hint="eastAsia"/>
          <w:kern w:val="0"/>
          <w:sz w:val="32"/>
          <w:szCs w:val="32"/>
        </w:rPr>
      </w:pPr>
      <w:bookmarkStart w:id="301" w:name="_Toc26116_WPSOffice_Level2"/>
      <w:r>
        <w:rPr>
          <w:rFonts w:ascii="仿宋" w:eastAsia="仿宋" w:hAnsi="仿宋" w:cs="Times New Roman" w:hint="eastAsia"/>
          <w:kern w:val="0"/>
          <w:sz w:val="32"/>
          <w:szCs w:val="32"/>
        </w:rPr>
        <w:t>【】年【】月【】日</w:t>
      </w:r>
    </w:p>
    <w:bookmarkEnd w:id="301"/>
    <w:p w14:paraId="7D56275D" w14:textId="77777777" w:rsidR="00D25E16" w:rsidRDefault="00D74D86">
      <w:pPr>
        <w:widowControl/>
        <w:spacing w:line="560" w:lineRule="exact"/>
        <w:rPr>
          <w:rFonts w:ascii="仿宋" w:eastAsia="仿宋" w:hAnsi="仿宋" w:cs="楷体_GB2312" w:hint="eastAsia"/>
          <w:kern w:val="0"/>
          <w:sz w:val="32"/>
          <w:szCs w:val="32"/>
        </w:rPr>
      </w:pPr>
      <w:r>
        <w:rPr>
          <w:rFonts w:ascii="仿宋" w:eastAsia="仿宋" w:hAnsi="仿宋" w:cs="楷体_GB2312" w:hint="eastAsia"/>
          <w:kern w:val="0"/>
          <w:sz w:val="32"/>
          <w:szCs w:val="32"/>
        </w:rPr>
        <w:br w:type="page"/>
      </w:r>
      <w:bookmarkStart w:id="302" w:name="_Toc10466_WPSOffice_Level2"/>
      <w:r>
        <w:rPr>
          <w:rFonts w:ascii="仿宋" w:eastAsia="仿宋" w:hAnsi="仿宋" w:cs="楷体_GB2312" w:hint="eastAsia"/>
          <w:kern w:val="0"/>
          <w:sz w:val="32"/>
          <w:szCs w:val="32"/>
        </w:rPr>
        <w:lastRenderedPageBreak/>
        <w:t>附件2：</w:t>
      </w:r>
    </w:p>
    <w:p w14:paraId="6D3105B5"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03" w:name="_Toc80692443"/>
      <w:bookmarkStart w:id="304" w:name="_Toc205973740"/>
      <w:r>
        <w:rPr>
          <w:rFonts w:ascii="方正小标宋简体" w:eastAsia="方正小标宋简体" w:hAnsi="仿宋" w:cs="楷体_GB2312" w:hint="eastAsia"/>
          <w:bCs/>
          <w:kern w:val="0"/>
          <w:sz w:val="44"/>
          <w:szCs w:val="44"/>
        </w:rPr>
        <w:t>【本期凭证全称】配售结果通知</w:t>
      </w:r>
      <w:r>
        <w:rPr>
          <w:rFonts w:ascii="方正小标宋简体" w:eastAsia="方正小标宋简体" w:hAnsi="仿宋" w:cs="楷体_GB2312" w:hint="eastAsia"/>
          <w:bCs/>
          <w:kern w:val="0"/>
          <w:sz w:val="44"/>
          <w:szCs w:val="44"/>
          <w:vertAlign w:val="superscript"/>
        </w:rPr>
        <w:footnoteReference w:id="87"/>
      </w:r>
      <w:bookmarkEnd w:id="303"/>
      <w:bookmarkEnd w:id="304"/>
    </w:p>
    <w:p w14:paraId="0CB4D264" w14:textId="77777777" w:rsidR="00D25E16" w:rsidRDefault="00D25E16">
      <w:pPr>
        <w:widowControl/>
        <w:spacing w:line="560" w:lineRule="exact"/>
        <w:ind w:firstLine="602"/>
        <w:jc w:val="center"/>
        <w:rPr>
          <w:rFonts w:ascii="仿宋" w:eastAsia="仿宋" w:hAnsi="仿宋" w:cs="楷体_GB2312" w:hint="eastAsia"/>
          <w:b/>
          <w:kern w:val="0"/>
          <w:sz w:val="32"/>
          <w:szCs w:val="32"/>
        </w:rPr>
      </w:pPr>
    </w:p>
    <w:p w14:paraId="0FF7ED85"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【本期凭证全称】配售工作已经结束，根据配售结果，贵单位获得本期凭证的配售名义本金金额以及信用保护费费率结果如下：</w:t>
      </w:r>
    </w:p>
    <w:tbl>
      <w:tblPr>
        <w:tblW w:w="7493"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665"/>
      </w:tblGrid>
      <w:tr w:rsidR="00D25E16" w14:paraId="5114AB5F" w14:textId="77777777">
        <w:tc>
          <w:tcPr>
            <w:tcW w:w="3828" w:type="dxa"/>
          </w:tcPr>
          <w:p w14:paraId="355FBAB8" w14:textId="77777777" w:rsidR="00D25E16" w:rsidRDefault="00D74D86">
            <w:pPr>
              <w:widowControl/>
              <w:spacing w:line="560" w:lineRule="exact"/>
              <w:jc w:val="center"/>
              <w:rPr>
                <w:rFonts w:ascii="仿宋" w:eastAsia="仿宋" w:hAnsi="仿宋" w:cs="楷体_GB2312" w:hint="eastAsia"/>
                <w:kern w:val="0"/>
                <w:sz w:val="32"/>
                <w:szCs w:val="32"/>
              </w:rPr>
            </w:pPr>
            <w:r>
              <w:rPr>
                <w:rFonts w:ascii="仿宋" w:eastAsia="仿宋" w:hAnsi="仿宋" w:cs="楷体_GB2312" w:hint="eastAsia"/>
                <w:kern w:val="0"/>
                <w:sz w:val="32"/>
                <w:szCs w:val="32"/>
              </w:rPr>
              <w:t>配售名义本金（万元）</w:t>
            </w:r>
          </w:p>
        </w:tc>
        <w:tc>
          <w:tcPr>
            <w:tcW w:w="3665" w:type="dxa"/>
          </w:tcPr>
          <w:p w14:paraId="348AEF8C" w14:textId="77777777" w:rsidR="00D25E16" w:rsidRDefault="00D74D86">
            <w:pPr>
              <w:widowControl/>
              <w:spacing w:line="560" w:lineRule="exact"/>
              <w:jc w:val="center"/>
              <w:rPr>
                <w:rFonts w:ascii="仿宋" w:eastAsia="仿宋" w:hAnsi="仿宋" w:cs="楷体_GB2312" w:hint="eastAsia"/>
                <w:kern w:val="0"/>
                <w:sz w:val="32"/>
                <w:szCs w:val="32"/>
              </w:rPr>
            </w:pPr>
            <w:r>
              <w:rPr>
                <w:rFonts w:ascii="仿宋" w:eastAsia="仿宋" w:hAnsi="仿宋" w:cs="楷体_GB2312" w:hint="eastAsia"/>
                <w:kern w:val="0"/>
                <w:sz w:val="32"/>
                <w:szCs w:val="32"/>
              </w:rPr>
              <w:t>信用保护费费率</w:t>
            </w:r>
          </w:p>
        </w:tc>
      </w:tr>
      <w:tr w:rsidR="00D25E16" w14:paraId="4CBCB408" w14:textId="77777777">
        <w:tc>
          <w:tcPr>
            <w:tcW w:w="3828" w:type="dxa"/>
          </w:tcPr>
          <w:p w14:paraId="20FF295D" w14:textId="77777777" w:rsidR="00D25E16" w:rsidRDefault="00D25E16">
            <w:pPr>
              <w:widowControl/>
              <w:spacing w:line="560" w:lineRule="exact"/>
              <w:jc w:val="center"/>
              <w:rPr>
                <w:rFonts w:ascii="仿宋" w:eastAsia="仿宋" w:hAnsi="仿宋" w:cs="楷体_GB2312" w:hint="eastAsia"/>
                <w:kern w:val="0"/>
                <w:sz w:val="32"/>
                <w:szCs w:val="32"/>
              </w:rPr>
            </w:pPr>
          </w:p>
        </w:tc>
        <w:tc>
          <w:tcPr>
            <w:tcW w:w="3665" w:type="dxa"/>
          </w:tcPr>
          <w:p w14:paraId="77E2A40E" w14:textId="77777777" w:rsidR="00D25E16" w:rsidRDefault="00D74D86">
            <w:pPr>
              <w:widowControl/>
              <w:spacing w:line="560" w:lineRule="exact"/>
              <w:jc w:val="center"/>
              <w:rPr>
                <w:rFonts w:ascii="仿宋" w:eastAsia="仿宋" w:hAnsi="仿宋" w:cs="楷体_GB2312" w:hint="eastAsia"/>
                <w:kern w:val="0"/>
                <w:sz w:val="32"/>
                <w:szCs w:val="32"/>
              </w:rPr>
            </w:pPr>
            <w:r>
              <w:rPr>
                <w:rFonts w:ascii="仿宋" w:eastAsia="仿宋" w:hAnsi="仿宋" w:cs="楷体_GB2312" w:hint="eastAsia"/>
                <w:kern w:val="0"/>
                <w:sz w:val="32"/>
                <w:szCs w:val="32"/>
              </w:rPr>
              <w:t>%</w:t>
            </w:r>
          </w:p>
        </w:tc>
      </w:tr>
    </w:tbl>
    <w:p w14:paraId="7E5375FD"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若有疑义，请在收到本通知当日内书面通知创设机构。</w:t>
      </w:r>
    </w:p>
    <w:p w14:paraId="62E25801"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若有问题请及时与我们联系。</w:t>
      </w:r>
    </w:p>
    <w:p w14:paraId="20570A30"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联系人：</w:t>
      </w:r>
    </w:p>
    <w:p w14:paraId="462E9586"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电话：</w:t>
      </w:r>
    </w:p>
    <w:p w14:paraId="042B1777"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传真：</w:t>
      </w:r>
    </w:p>
    <w:p w14:paraId="042FE549" w14:textId="77777777" w:rsidR="00D25E16" w:rsidRDefault="00D25E16">
      <w:pPr>
        <w:widowControl/>
        <w:spacing w:line="560" w:lineRule="exact"/>
        <w:ind w:firstLineChars="200" w:firstLine="640"/>
        <w:jc w:val="right"/>
        <w:rPr>
          <w:rFonts w:ascii="仿宋" w:eastAsia="仿宋" w:hAnsi="仿宋" w:cs="楷体_GB2312" w:hint="eastAsia"/>
          <w:kern w:val="0"/>
          <w:sz w:val="32"/>
          <w:szCs w:val="32"/>
        </w:rPr>
      </w:pPr>
    </w:p>
    <w:p w14:paraId="3C7BC5B6" w14:textId="77777777" w:rsidR="00D25E16" w:rsidRDefault="00D25E16">
      <w:pPr>
        <w:widowControl/>
        <w:spacing w:line="560" w:lineRule="exact"/>
        <w:ind w:firstLineChars="200" w:firstLine="640"/>
        <w:jc w:val="right"/>
        <w:rPr>
          <w:rFonts w:ascii="仿宋" w:eastAsia="仿宋" w:hAnsi="仿宋" w:cs="楷体_GB2312" w:hint="eastAsia"/>
          <w:kern w:val="0"/>
          <w:sz w:val="32"/>
          <w:szCs w:val="32"/>
        </w:rPr>
      </w:pPr>
    </w:p>
    <w:p w14:paraId="735CA6B0"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【创设机构公章或业务章】</w:t>
      </w:r>
    </w:p>
    <w:p w14:paraId="4473AA65"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245CB34B" w14:textId="77777777" w:rsidR="00D25E16" w:rsidRDefault="00D74D86">
      <w:pPr>
        <w:widowControl/>
        <w:spacing w:line="560" w:lineRule="exact"/>
        <w:rPr>
          <w:rFonts w:ascii="仿宋" w:eastAsia="仿宋" w:hAnsi="仿宋" w:cs="楷体_GB2312" w:hint="eastAsia"/>
          <w:kern w:val="0"/>
          <w:sz w:val="32"/>
          <w:szCs w:val="32"/>
        </w:rPr>
      </w:pPr>
      <w:r>
        <w:rPr>
          <w:rFonts w:ascii="仿宋" w:eastAsia="仿宋" w:hAnsi="仿宋" w:cs="楷体_GB2312" w:hint="eastAsia"/>
          <w:kern w:val="0"/>
          <w:sz w:val="32"/>
          <w:szCs w:val="32"/>
        </w:rPr>
        <w:br w:type="page"/>
      </w:r>
      <w:r>
        <w:rPr>
          <w:rFonts w:ascii="仿宋" w:eastAsia="仿宋" w:hAnsi="仿宋" w:cs="楷体_GB2312" w:hint="eastAsia"/>
          <w:kern w:val="0"/>
          <w:sz w:val="32"/>
          <w:szCs w:val="32"/>
        </w:rPr>
        <w:lastRenderedPageBreak/>
        <w:t>附件3：</w:t>
      </w:r>
    </w:p>
    <w:p w14:paraId="13570C7B"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05" w:name="_Toc80692445"/>
      <w:bookmarkStart w:id="306" w:name="_Toc205973741"/>
      <w:r>
        <w:rPr>
          <w:rFonts w:ascii="方正小标宋简体" w:eastAsia="方正小标宋简体" w:hAnsi="仿宋" w:cs="楷体_GB2312" w:hint="eastAsia"/>
          <w:bCs/>
          <w:kern w:val="0"/>
          <w:sz w:val="44"/>
          <w:szCs w:val="44"/>
        </w:rPr>
        <w:t>【本期凭证全称】预配售情况公告</w:t>
      </w:r>
      <w:r>
        <w:rPr>
          <w:rFonts w:ascii="方正小标宋简体" w:eastAsia="方正小标宋简体" w:hAnsi="仿宋" w:cs="楷体_GB2312" w:hint="eastAsia"/>
          <w:bCs/>
          <w:kern w:val="0"/>
          <w:sz w:val="44"/>
          <w:szCs w:val="44"/>
          <w:vertAlign w:val="superscript"/>
        </w:rPr>
        <w:footnoteReference w:id="88"/>
      </w:r>
      <w:bookmarkEnd w:id="305"/>
      <w:bookmarkEnd w:id="306"/>
    </w:p>
    <w:p w14:paraId="0D86820F" w14:textId="77777777" w:rsidR="00D25E16" w:rsidRDefault="00D25E16">
      <w:pPr>
        <w:widowControl/>
        <w:spacing w:line="560" w:lineRule="exact"/>
        <w:ind w:firstLine="602"/>
        <w:jc w:val="center"/>
        <w:rPr>
          <w:rFonts w:ascii="仿宋" w:eastAsia="仿宋" w:hAnsi="仿宋" w:cs="楷体_GB2312" w:hint="eastAsia"/>
          <w:b/>
          <w:kern w:val="0"/>
          <w:sz w:val="32"/>
          <w:szCs w:val="32"/>
        </w:rPr>
      </w:pPr>
    </w:p>
    <w:p w14:paraId="7C3835D7"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本期凭证全称】已在预配售阶段确定本期凭证信用保护费费率和投资者预配售名义本金金额。参考债务分销缴款完成后，上海清算所将根据各投资者预配售名义本金金额与参考债务分销缴款结果对本期凭证进行匹配和正式配售。现将本期凭证预配售情况公告如下：</w:t>
      </w:r>
    </w:p>
    <w:p w14:paraId="13766262"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凭证名称：【】</w:t>
      </w:r>
    </w:p>
    <w:p w14:paraId="3FA90505"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凭证简称：【】</w:t>
      </w:r>
    </w:p>
    <w:p w14:paraId="52326C3A"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凭证代码：【】</w:t>
      </w:r>
    </w:p>
    <w:p w14:paraId="736EDDFC"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信用保护费费率：【】%</w:t>
      </w:r>
    </w:p>
    <w:p w14:paraId="7F47027B"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正式配售日：【】年【】月【】日</w:t>
      </w:r>
    </w:p>
    <w:p w14:paraId="6237254A"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计划创设名义本金金额：【】万元</w:t>
      </w:r>
    </w:p>
    <w:p w14:paraId="789E646B"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预配售名义本金金额：【】万元</w:t>
      </w:r>
    </w:p>
    <w:p w14:paraId="6F7F4338" w14:textId="77777777" w:rsidR="00D25E16" w:rsidRDefault="00D25E16">
      <w:pPr>
        <w:widowControl/>
        <w:spacing w:line="560" w:lineRule="exact"/>
        <w:ind w:firstLineChars="200" w:firstLine="640"/>
        <w:jc w:val="right"/>
        <w:rPr>
          <w:rFonts w:ascii="仿宋" w:eastAsia="仿宋" w:hAnsi="仿宋" w:cs="楷体_GB2312" w:hint="eastAsia"/>
          <w:kern w:val="0"/>
          <w:sz w:val="32"/>
          <w:szCs w:val="32"/>
        </w:rPr>
      </w:pPr>
    </w:p>
    <w:p w14:paraId="0042C058" w14:textId="77777777" w:rsidR="00D25E16" w:rsidRDefault="00D25E16">
      <w:pPr>
        <w:widowControl/>
        <w:spacing w:line="560" w:lineRule="exact"/>
        <w:ind w:firstLineChars="200" w:firstLine="640"/>
        <w:jc w:val="right"/>
        <w:rPr>
          <w:rFonts w:ascii="仿宋" w:eastAsia="仿宋" w:hAnsi="仿宋" w:cs="楷体_GB2312" w:hint="eastAsia"/>
          <w:kern w:val="0"/>
          <w:sz w:val="32"/>
          <w:szCs w:val="32"/>
        </w:rPr>
      </w:pPr>
    </w:p>
    <w:p w14:paraId="1BD9B355"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【创设机构全称及单位公章】</w:t>
      </w:r>
    </w:p>
    <w:p w14:paraId="09C182AD"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5FBECA96" w14:textId="77777777" w:rsidR="00D25E16" w:rsidRDefault="00D74D86">
      <w:pPr>
        <w:widowControl/>
        <w:spacing w:line="560" w:lineRule="exact"/>
        <w:jc w:val="left"/>
        <w:rPr>
          <w:rFonts w:ascii="仿宋" w:eastAsia="仿宋" w:hAnsi="仿宋" w:cs="楷体_GB2312" w:hint="eastAsia"/>
          <w:kern w:val="0"/>
          <w:sz w:val="32"/>
          <w:szCs w:val="32"/>
        </w:rPr>
      </w:pPr>
      <w:r>
        <w:rPr>
          <w:rFonts w:ascii="仿宋" w:eastAsia="仿宋" w:hAnsi="仿宋" w:cs="楷体_GB2312" w:hint="eastAsia"/>
          <w:sz w:val="32"/>
          <w:szCs w:val="32"/>
        </w:rPr>
        <w:br w:type="page"/>
      </w:r>
      <w:bookmarkEnd w:id="302"/>
      <w:r>
        <w:rPr>
          <w:rFonts w:ascii="仿宋" w:eastAsia="仿宋" w:hAnsi="仿宋" w:cs="楷体_GB2312" w:hint="eastAsia"/>
          <w:kern w:val="0"/>
          <w:sz w:val="32"/>
          <w:szCs w:val="32"/>
        </w:rPr>
        <w:lastRenderedPageBreak/>
        <w:t>附件4：</w:t>
      </w:r>
    </w:p>
    <w:p w14:paraId="77076200" w14:textId="46A63DB1"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07" w:name="_Toc80692447"/>
      <w:bookmarkStart w:id="308" w:name="_Toc205973742"/>
      <w:r>
        <w:rPr>
          <w:rFonts w:ascii="方正小标宋简体" w:eastAsia="方正小标宋简体" w:hAnsi="仿宋" w:cs="楷体_GB2312" w:hint="eastAsia"/>
          <w:bCs/>
          <w:kern w:val="0"/>
          <w:sz w:val="44"/>
          <w:szCs w:val="44"/>
        </w:rPr>
        <w:t>【本期凭证全称】配售确认及信用保护费支付通知</w:t>
      </w:r>
      <w:bookmarkEnd w:id="307"/>
      <w:bookmarkEnd w:id="308"/>
    </w:p>
    <w:p w14:paraId="71478CA3" w14:textId="77777777" w:rsidR="00D25E16" w:rsidRPr="000B7EE6" w:rsidRDefault="00D25E16">
      <w:pPr>
        <w:widowControl/>
        <w:spacing w:line="560" w:lineRule="exact"/>
        <w:ind w:firstLine="602"/>
        <w:jc w:val="center"/>
        <w:rPr>
          <w:rFonts w:ascii="仿宋" w:eastAsia="仿宋" w:hAnsi="仿宋" w:cs="楷体_GB2312" w:hint="eastAsia"/>
          <w:b/>
          <w:kern w:val="0"/>
          <w:sz w:val="32"/>
          <w:szCs w:val="32"/>
        </w:rPr>
      </w:pPr>
    </w:p>
    <w:p w14:paraId="60EB461E"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【本期凭证全称】配售工作已经结束。根据凭证配售结果，贵单位获得配售名义本金金额、信用保护费费率、应缴纳信用保护费金额如下：</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4"/>
        <w:gridCol w:w="2977"/>
      </w:tblGrid>
      <w:tr w:rsidR="00D25E16" w14:paraId="57E05FCE" w14:textId="77777777">
        <w:tc>
          <w:tcPr>
            <w:tcW w:w="3261" w:type="dxa"/>
          </w:tcPr>
          <w:p w14:paraId="3CEDE54F"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正式配售名义本金</w:t>
            </w:r>
          </w:p>
          <w:p w14:paraId="0D82DD92"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（万元）</w:t>
            </w:r>
          </w:p>
        </w:tc>
        <w:tc>
          <w:tcPr>
            <w:tcW w:w="1984" w:type="dxa"/>
          </w:tcPr>
          <w:p w14:paraId="707AE3A8"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信用保护费费率</w:t>
            </w:r>
          </w:p>
        </w:tc>
        <w:tc>
          <w:tcPr>
            <w:tcW w:w="2977" w:type="dxa"/>
          </w:tcPr>
          <w:p w14:paraId="357C9805"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信用保护费金额</w:t>
            </w:r>
          </w:p>
          <w:p w14:paraId="07E0D88D"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（万元）</w:t>
            </w:r>
          </w:p>
        </w:tc>
      </w:tr>
      <w:tr w:rsidR="00D25E16" w14:paraId="6F657900" w14:textId="77777777">
        <w:tc>
          <w:tcPr>
            <w:tcW w:w="3261" w:type="dxa"/>
          </w:tcPr>
          <w:p w14:paraId="55C83FB8" w14:textId="77777777" w:rsidR="00D25E16" w:rsidRDefault="00D25E16">
            <w:pPr>
              <w:widowControl/>
              <w:spacing w:line="460" w:lineRule="exact"/>
              <w:jc w:val="center"/>
              <w:rPr>
                <w:rFonts w:ascii="仿宋" w:eastAsia="仿宋" w:hAnsi="仿宋" w:cs="楷体_GB2312" w:hint="eastAsia"/>
                <w:kern w:val="0"/>
                <w:sz w:val="28"/>
                <w:szCs w:val="28"/>
              </w:rPr>
            </w:pPr>
          </w:p>
        </w:tc>
        <w:tc>
          <w:tcPr>
            <w:tcW w:w="1984" w:type="dxa"/>
          </w:tcPr>
          <w:p w14:paraId="7E416688" w14:textId="77777777" w:rsidR="00D25E16" w:rsidRDefault="00D74D86">
            <w:pPr>
              <w:widowControl/>
              <w:spacing w:line="460" w:lineRule="exact"/>
              <w:jc w:val="center"/>
              <w:rPr>
                <w:rFonts w:ascii="仿宋" w:eastAsia="仿宋" w:hAnsi="仿宋" w:cs="楷体_GB2312" w:hint="eastAsia"/>
                <w:kern w:val="0"/>
                <w:sz w:val="28"/>
                <w:szCs w:val="28"/>
              </w:rPr>
            </w:pPr>
            <w:r>
              <w:rPr>
                <w:rFonts w:ascii="仿宋" w:eastAsia="仿宋" w:hAnsi="仿宋" w:cs="楷体_GB2312" w:hint="eastAsia"/>
                <w:kern w:val="0"/>
                <w:sz w:val="28"/>
                <w:szCs w:val="28"/>
              </w:rPr>
              <w:t>%</w:t>
            </w:r>
          </w:p>
        </w:tc>
        <w:tc>
          <w:tcPr>
            <w:tcW w:w="2977" w:type="dxa"/>
          </w:tcPr>
          <w:p w14:paraId="2E0776CE" w14:textId="77777777" w:rsidR="00D25E16" w:rsidRDefault="00D25E16">
            <w:pPr>
              <w:widowControl/>
              <w:spacing w:line="460" w:lineRule="exact"/>
              <w:jc w:val="center"/>
              <w:rPr>
                <w:rFonts w:ascii="仿宋" w:eastAsia="仿宋" w:hAnsi="仿宋" w:cs="楷体_GB2312" w:hint="eastAsia"/>
                <w:kern w:val="0"/>
                <w:sz w:val="28"/>
                <w:szCs w:val="28"/>
              </w:rPr>
            </w:pPr>
          </w:p>
        </w:tc>
      </w:tr>
    </w:tbl>
    <w:p w14:paraId="22DFEFBC"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请将上述应缴信用保护费于【】年【】月【】日【】点前划至创设机构指定的以下银行账户：</w:t>
      </w:r>
    </w:p>
    <w:p w14:paraId="03FCC728"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sz w:val="32"/>
          <w:szCs w:val="32"/>
        </w:rPr>
      </w:pPr>
      <w:r>
        <w:rPr>
          <w:rFonts w:ascii="仿宋" w:eastAsia="仿宋" w:hAnsi="仿宋" w:cs="Times New Roman" w:hint="eastAsia"/>
          <w:sz w:val="32"/>
          <w:szCs w:val="32"/>
        </w:rPr>
        <w:t>户名：【】</w:t>
      </w:r>
    </w:p>
    <w:p w14:paraId="1371046E"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sz w:val="32"/>
          <w:szCs w:val="32"/>
        </w:rPr>
      </w:pPr>
      <w:r>
        <w:rPr>
          <w:rFonts w:ascii="仿宋" w:eastAsia="仿宋" w:hAnsi="仿宋" w:cs="Times New Roman" w:hint="eastAsia"/>
          <w:sz w:val="32"/>
          <w:szCs w:val="32"/>
        </w:rPr>
        <w:t>开户行：【】</w:t>
      </w:r>
    </w:p>
    <w:p w14:paraId="71C39A98"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sz w:val="32"/>
          <w:szCs w:val="32"/>
        </w:rPr>
      </w:pPr>
      <w:r>
        <w:rPr>
          <w:rFonts w:ascii="仿宋" w:eastAsia="仿宋" w:hAnsi="仿宋" w:cs="Times New Roman" w:hint="eastAsia"/>
          <w:sz w:val="32"/>
          <w:szCs w:val="32"/>
        </w:rPr>
        <w:t>账号：【】</w:t>
      </w:r>
    </w:p>
    <w:p w14:paraId="780EA09E"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楷体_GB2312" w:hint="eastAsia"/>
          <w:sz w:val="32"/>
          <w:szCs w:val="32"/>
        </w:rPr>
      </w:pPr>
      <w:r>
        <w:rPr>
          <w:rFonts w:ascii="仿宋" w:eastAsia="仿宋" w:hAnsi="仿宋" w:cs="Times New Roman" w:hint="eastAsia"/>
          <w:sz w:val="32"/>
          <w:szCs w:val="32"/>
        </w:rPr>
        <w:t>支付系统行号：</w:t>
      </w:r>
      <w:r>
        <w:rPr>
          <w:rFonts w:ascii="仿宋" w:eastAsia="仿宋" w:hAnsi="仿宋" w:cs="楷体_GB2312" w:hint="eastAsia"/>
          <w:sz w:val="32"/>
          <w:szCs w:val="32"/>
        </w:rPr>
        <w:t>【】</w:t>
      </w:r>
    </w:p>
    <w:p w14:paraId="6434C0B6" w14:textId="77777777" w:rsidR="00D25E16" w:rsidRDefault="00D74D86">
      <w:pPr>
        <w:autoSpaceDE w:val="0"/>
        <w:autoSpaceDN w:val="0"/>
        <w:adjustRightInd w:val="0"/>
        <w:snapToGrid w:val="0"/>
        <w:spacing w:line="560" w:lineRule="exact"/>
        <w:ind w:firstLineChars="200" w:firstLine="640"/>
        <w:contextualSpacing/>
        <w:rPr>
          <w:rFonts w:ascii="仿宋" w:eastAsia="仿宋" w:hAnsi="仿宋" w:cs="Times New Roman" w:hint="eastAsia"/>
          <w:sz w:val="32"/>
          <w:szCs w:val="32"/>
        </w:rPr>
      </w:pPr>
      <w:r>
        <w:rPr>
          <w:rFonts w:ascii="仿宋" w:eastAsia="仿宋" w:hAnsi="仿宋" w:cs="楷体_GB2312" w:hint="eastAsia"/>
          <w:sz w:val="32"/>
          <w:szCs w:val="32"/>
        </w:rPr>
        <w:t>请在汇款备注中注明“【本期凭证全称】信用保护费”字样。</w:t>
      </w:r>
    </w:p>
    <w:p w14:paraId="56D1F4EF"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贵单位在收到本通知后，如无疑义，请在通知规定的时间内按上述要求划拨应缴信用保护费，否则视为违约。若有疑义，请在收到本通知当日内书面通知创设机构。</w:t>
      </w:r>
    </w:p>
    <w:p w14:paraId="4FAE6777"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若有问题请及时与我们联系：</w:t>
      </w:r>
    </w:p>
    <w:p w14:paraId="70C4169F"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联系人：      电话：      传真：</w:t>
      </w:r>
    </w:p>
    <w:p w14:paraId="2DA4BC29"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【创设机构公章或业务章】</w:t>
      </w:r>
    </w:p>
    <w:p w14:paraId="23D3480A"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 xml:space="preserve">【】年【】月【】日  </w:t>
      </w:r>
    </w:p>
    <w:p w14:paraId="7B7F649F" w14:textId="77777777" w:rsidR="00D25E16" w:rsidRDefault="00D74D86">
      <w:pPr>
        <w:widowControl/>
        <w:spacing w:line="560" w:lineRule="exact"/>
        <w:jc w:val="left"/>
        <w:rPr>
          <w:rFonts w:ascii="仿宋" w:eastAsia="仿宋" w:hAnsi="仿宋" w:cs="楷体_GB2312" w:hint="eastAsia"/>
          <w:kern w:val="0"/>
          <w:sz w:val="32"/>
          <w:szCs w:val="32"/>
        </w:rPr>
      </w:pPr>
      <w:r>
        <w:rPr>
          <w:rFonts w:ascii="仿宋" w:eastAsia="仿宋" w:hAnsi="仿宋" w:cs="楷体_GB2312" w:hint="eastAsia"/>
          <w:kern w:val="0"/>
          <w:sz w:val="32"/>
          <w:szCs w:val="32"/>
        </w:rPr>
        <w:br w:type="page"/>
      </w:r>
      <w:bookmarkStart w:id="309" w:name="_Toc30355_WPSOffice_Level2"/>
      <w:r>
        <w:rPr>
          <w:rFonts w:ascii="仿宋" w:eastAsia="仿宋" w:hAnsi="仿宋" w:cs="楷体_GB2312" w:hint="eastAsia"/>
          <w:kern w:val="0"/>
          <w:sz w:val="32"/>
          <w:szCs w:val="32"/>
        </w:rPr>
        <w:lastRenderedPageBreak/>
        <w:t>附件5：</w:t>
      </w:r>
    </w:p>
    <w:p w14:paraId="6144226B"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10" w:name="_Toc205973743"/>
      <w:bookmarkStart w:id="311" w:name="_Toc80692449"/>
      <w:r>
        <w:rPr>
          <w:rFonts w:ascii="方正小标宋简体" w:eastAsia="方正小标宋简体" w:hAnsi="仿宋" w:cs="楷体_GB2312" w:hint="eastAsia"/>
          <w:bCs/>
          <w:kern w:val="0"/>
          <w:sz w:val="44"/>
          <w:szCs w:val="44"/>
        </w:rPr>
        <w:t>【本期凭证全称】创设情况公告</w:t>
      </w:r>
      <w:bookmarkEnd w:id="309"/>
      <w:bookmarkEnd w:id="310"/>
      <w:bookmarkEnd w:id="311"/>
    </w:p>
    <w:p w14:paraId="0DE94A0D" w14:textId="77777777" w:rsidR="00D25E16" w:rsidRDefault="00D25E16">
      <w:pPr>
        <w:widowControl/>
        <w:spacing w:line="560" w:lineRule="exact"/>
        <w:ind w:firstLine="602"/>
        <w:jc w:val="center"/>
        <w:rPr>
          <w:rFonts w:ascii="仿宋" w:eastAsia="仿宋" w:hAnsi="仿宋" w:cs="楷体_GB2312" w:hint="eastAsia"/>
          <w:b/>
          <w:kern w:val="0"/>
          <w:sz w:val="32"/>
          <w:szCs w:val="32"/>
        </w:rPr>
      </w:pPr>
    </w:p>
    <w:p w14:paraId="49CA8CC5"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w:t>
      </w:r>
      <w:r>
        <w:rPr>
          <w:rFonts w:ascii="仿宋" w:eastAsia="仿宋" w:hAnsi="仿宋" w:cs="Times New Roman" w:hint="eastAsia"/>
          <w:bCs/>
          <w:sz w:val="32"/>
          <w:szCs w:val="32"/>
        </w:rPr>
        <w:t>本期凭证全称</w:t>
      </w:r>
      <w:r>
        <w:rPr>
          <w:rFonts w:ascii="仿宋" w:eastAsia="仿宋" w:hAnsi="仿宋" w:cs="楷体_GB2312" w:hint="eastAsia"/>
          <w:kern w:val="0"/>
          <w:sz w:val="32"/>
          <w:szCs w:val="32"/>
        </w:rPr>
        <w:t>】创设工作已经结束。根据配售及登记结果，现将本期凭证创设情况公告如下：</w:t>
      </w:r>
    </w:p>
    <w:p w14:paraId="7A87364F"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凭证名称： </w:t>
      </w:r>
    </w:p>
    <w:p w14:paraId="303B5F40"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凭证简称： </w:t>
      </w:r>
    </w:p>
    <w:p w14:paraId="70C1D91D"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凭证代码： </w:t>
      </w:r>
    </w:p>
    <w:p w14:paraId="57B31695"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参考实体： </w:t>
      </w:r>
    </w:p>
    <w:p w14:paraId="0C764572"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债务种类：</w:t>
      </w:r>
    </w:p>
    <w:p w14:paraId="3052EECC"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债务特征：</w:t>
      </w:r>
    </w:p>
    <w:p w14:paraId="789FCD6A"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参考债务： </w:t>
      </w:r>
    </w:p>
    <w:p w14:paraId="25985C63"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信用事件： </w:t>
      </w:r>
    </w:p>
    <w:p w14:paraId="611D05A0"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结算方式： </w:t>
      </w:r>
    </w:p>
    <w:p w14:paraId="316DA5CA"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信用保护费费率：【】%</w:t>
      </w:r>
    </w:p>
    <w:p w14:paraId="567E07FB"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凭证登记日： </w:t>
      </w:r>
    </w:p>
    <w:p w14:paraId="3C04FA9B"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楷体_GB2312" w:hint="eastAsia"/>
          <w:kern w:val="0"/>
          <w:sz w:val="32"/>
          <w:szCs w:val="32"/>
        </w:rPr>
        <w:t xml:space="preserve">上市流通日： </w:t>
      </w:r>
    </w:p>
    <w:p w14:paraId="260EDEA8" w14:textId="77777777" w:rsidR="00D25E16" w:rsidRDefault="00D74D86">
      <w:pPr>
        <w:widowControl/>
        <w:spacing w:line="560" w:lineRule="exact"/>
        <w:ind w:firstLineChars="200" w:firstLine="640"/>
        <w:rPr>
          <w:rFonts w:ascii="仿宋" w:eastAsia="仿宋" w:hAnsi="仿宋" w:cs="楷体_GB2312" w:hint="eastAsia"/>
          <w:kern w:val="0"/>
          <w:sz w:val="32"/>
          <w:szCs w:val="32"/>
        </w:rPr>
      </w:pPr>
      <w:r>
        <w:rPr>
          <w:rFonts w:ascii="仿宋" w:eastAsia="仿宋" w:hAnsi="仿宋" w:cs="Times New Roman" w:hint="eastAsia"/>
          <w:kern w:val="0"/>
          <w:sz w:val="32"/>
          <w:szCs w:val="32"/>
        </w:rPr>
        <w:t>约定到期日：</w:t>
      </w:r>
    </w:p>
    <w:p w14:paraId="23809E69"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计划创设名义本金金额：【】万元</w:t>
      </w:r>
    </w:p>
    <w:p w14:paraId="1849F1A5" w14:textId="77777777" w:rsidR="00D25E16" w:rsidRDefault="00D74D86">
      <w:pPr>
        <w:widowControl/>
        <w:spacing w:line="560" w:lineRule="exact"/>
        <w:ind w:firstLineChars="200" w:firstLine="640"/>
        <w:jc w:val="left"/>
        <w:rPr>
          <w:rFonts w:ascii="仿宋" w:eastAsia="仿宋" w:hAnsi="仿宋" w:cs="楷体_GB2312" w:hint="eastAsia"/>
          <w:kern w:val="0"/>
          <w:sz w:val="32"/>
          <w:szCs w:val="32"/>
        </w:rPr>
      </w:pPr>
      <w:r>
        <w:rPr>
          <w:rFonts w:ascii="仿宋" w:eastAsia="仿宋" w:hAnsi="仿宋" w:cs="楷体_GB2312" w:hint="eastAsia"/>
          <w:kern w:val="0"/>
          <w:sz w:val="32"/>
          <w:szCs w:val="32"/>
        </w:rPr>
        <w:t>实际创设名义本金金额：【】万元</w:t>
      </w:r>
    </w:p>
    <w:p w14:paraId="67C81610" w14:textId="77777777" w:rsidR="00D25E16" w:rsidRDefault="00D25E16">
      <w:pPr>
        <w:widowControl/>
        <w:spacing w:line="560" w:lineRule="exact"/>
        <w:ind w:firstLineChars="200" w:firstLine="640"/>
        <w:jc w:val="right"/>
        <w:rPr>
          <w:rFonts w:ascii="仿宋" w:eastAsia="仿宋" w:hAnsi="仿宋" w:cs="楷体_GB2312" w:hint="eastAsia"/>
          <w:kern w:val="0"/>
          <w:sz w:val="32"/>
          <w:szCs w:val="32"/>
        </w:rPr>
      </w:pPr>
    </w:p>
    <w:p w14:paraId="02035CD3" w14:textId="77777777" w:rsidR="00D25E16" w:rsidRDefault="00D25E16">
      <w:pPr>
        <w:spacing w:line="560" w:lineRule="exact"/>
        <w:ind w:firstLineChars="200" w:firstLine="640"/>
        <w:jc w:val="left"/>
        <w:rPr>
          <w:rFonts w:ascii="仿宋" w:eastAsia="仿宋" w:hAnsi="仿宋" w:cs="Times New Roman" w:hint="eastAsia"/>
          <w:sz w:val="32"/>
          <w:szCs w:val="32"/>
        </w:rPr>
      </w:pPr>
    </w:p>
    <w:p w14:paraId="560CCB8A"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w:t>
      </w:r>
      <w:r>
        <w:rPr>
          <w:rFonts w:ascii="仿宋" w:eastAsia="仿宋" w:hAnsi="仿宋" w:cs="Times New Roman" w:hint="eastAsia"/>
          <w:bCs/>
          <w:sz w:val="32"/>
          <w:szCs w:val="32"/>
        </w:rPr>
        <w:t>创设机构全称及单位公章</w:t>
      </w:r>
      <w:r>
        <w:rPr>
          <w:rFonts w:ascii="仿宋" w:eastAsia="仿宋" w:hAnsi="仿宋" w:cs="楷体_GB2312" w:hint="eastAsia"/>
          <w:kern w:val="0"/>
          <w:sz w:val="32"/>
          <w:szCs w:val="32"/>
        </w:rPr>
        <w:t>】</w:t>
      </w:r>
    </w:p>
    <w:p w14:paraId="43E95283"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690F5337" w14:textId="77777777" w:rsidR="00D25E16" w:rsidRDefault="00D74D86">
      <w:pPr>
        <w:widowControl/>
        <w:spacing w:line="560" w:lineRule="exact"/>
        <w:jc w:val="left"/>
        <w:rPr>
          <w:rFonts w:ascii="仿宋" w:eastAsia="仿宋" w:hAnsi="仿宋" w:cs="楷体_GB2312" w:hint="eastAsia"/>
          <w:kern w:val="0"/>
          <w:sz w:val="32"/>
          <w:szCs w:val="32"/>
        </w:rPr>
      </w:pPr>
      <w:r>
        <w:rPr>
          <w:rFonts w:ascii="仿宋" w:eastAsia="仿宋" w:hAnsi="仿宋" w:cs="Times New Roman" w:hint="eastAsia"/>
          <w:b/>
          <w:sz w:val="32"/>
          <w:szCs w:val="32"/>
        </w:rPr>
        <w:br w:type="page"/>
      </w:r>
      <w:r>
        <w:rPr>
          <w:rFonts w:ascii="仿宋" w:eastAsia="仿宋" w:hAnsi="仿宋" w:cs="楷体_GB2312" w:hint="eastAsia"/>
          <w:kern w:val="0"/>
          <w:sz w:val="32"/>
          <w:szCs w:val="32"/>
        </w:rPr>
        <w:lastRenderedPageBreak/>
        <w:t>附件6：</w:t>
      </w:r>
    </w:p>
    <w:p w14:paraId="0BF846D7"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12" w:name="_Toc205973744"/>
      <w:r>
        <w:rPr>
          <w:rFonts w:ascii="方正小标宋简体" w:eastAsia="方正小标宋简体" w:hAnsi="仿宋" w:cs="楷体_GB2312" w:hint="eastAsia"/>
          <w:bCs/>
          <w:kern w:val="0"/>
          <w:sz w:val="44"/>
          <w:szCs w:val="44"/>
        </w:rPr>
        <w:t>【本期凭证全称】信息披露文件变更说明</w:t>
      </w:r>
      <w:bookmarkEnd w:id="312"/>
    </w:p>
    <w:p w14:paraId="4EC2621F" w14:textId="77777777" w:rsidR="00D25E16" w:rsidRDefault="00D25E16">
      <w:pPr>
        <w:spacing w:line="560" w:lineRule="exact"/>
        <w:ind w:firstLineChars="200" w:firstLine="640"/>
        <w:jc w:val="right"/>
        <w:rPr>
          <w:rFonts w:ascii="仿宋" w:eastAsia="仿宋" w:hAnsi="仿宋" w:cs="Times New Roman" w:hint="eastAsia"/>
          <w:kern w:val="0"/>
          <w:sz w:val="32"/>
          <w:szCs w:val="32"/>
        </w:rPr>
      </w:pPr>
    </w:p>
    <w:p w14:paraId="123B2C10" w14:textId="77777777" w:rsidR="00D25E16" w:rsidRDefault="00D74D86">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bCs/>
          <w:sz w:val="32"/>
          <w:szCs w:val="32"/>
        </w:rPr>
        <w:t>【创设机构全称】</w:t>
      </w:r>
      <w:r>
        <w:rPr>
          <w:rFonts w:ascii="仿宋" w:eastAsia="仿宋" w:hAnsi="仿宋" w:cs="Times New Roman" w:hint="eastAsia"/>
          <w:kern w:val="0"/>
          <w:sz w:val="32"/>
          <w:szCs w:val="32"/>
        </w:rPr>
        <w:t>于【】年【】月【】日发布了</w:t>
      </w:r>
      <w:r>
        <w:rPr>
          <w:rFonts w:ascii="仿宋" w:eastAsia="仿宋" w:hAnsi="仿宋" w:cs="Times New Roman" w:hint="eastAsia"/>
          <w:bCs/>
          <w:sz w:val="32"/>
          <w:szCs w:val="32"/>
        </w:rPr>
        <w:t>【本期凭证全称】</w:t>
      </w:r>
      <w:r>
        <w:rPr>
          <w:rFonts w:ascii="仿宋" w:eastAsia="仿宋" w:hAnsi="仿宋" w:cs="Times New Roman" w:hint="eastAsia"/>
          <w:kern w:val="0"/>
          <w:sz w:val="32"/>
          <w:szCs w:val="32"/>
        </w:rPr>
        <w:t>的创设材料。现将《【</w:t>
      </w:r>
      <w:r>
        <w:rPr>
          <w:rFonts w:ascii="仿宋" w:eastAsia="仿宋" w:hAnsi="仿宋" w:cs="Times New Roman" w:hint="eastAsia"/>
          <w:sz w:val="32"/>
          <w:szCs w:val="32"/>
        </w:rPr>
        <w:t>信息披露文件全称】</w:t>
      </w:r>
      <w:r>
        <w:rPr>
          <w:rFonts w:ascii="仿宋" w:eastAsia="仿宋" w:hAnsi="仿宋" w:cs="Times New Roman" w:hint="eastAsia"/>
          <w:kern w:val="0"/>
          <w:sz w:val="32"/>
          <w:szCs w:val="32"/>
        </w:rPr>
        <w:t>》有关内容做如下变更：</w:t>
      </w:r>
    </w:p>
    <w:p w14:paraId="03160B67" w14:textId="77777777" w:rsidR="00D25E16" w:rsidRDefault="00D74D86">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w:t>
      </w:r>
      <w:r>
        <w:rPr>
          <w:rFonts w:ascii="仿宋" w:eastAsia="仿宋" w:hAnsi="仿宋" w:cs="Times New Roman" w:hint="eastAsia"/>
          <w:sz w:val="32"/>
          <w:szCs w:val="32"/>
        </w:rPr>
        <w:t>【】</w:t>
      </w:r>
      <w:r>
        <w:rPr>
          <w:rFonts w:ascii="仿宋" w:eastAsia="仿宋" w:hAnsi="仿宋" w:cs="Times New Roman" w:hint="eastAsia"/>
          <w:kern w:val="0"/>
          <w:sz w:val="32"/>
          <w:szCs w:val="32"/>
        </w:rPr>
        <w:t>”变更为“</w:t>
      </w:r>
      <w:r>
        <w:rPr>
          <w:rFonts w:ascii="仿宋" w:eastAsia="仿宋" w:hAnsi="仿宋" w:cs="Times New Roman" w:hint="eastAsia"/>
          <w:sz w:val="32"/>
          <w:szCs w:val="32"/>
        </w:rPr>
        <w:t>【】</w:t>
      </w:r>
      <w:r>
        <w:rPr>
          <w:rFonts w:ascii="仿宋" w:eastAsia="仿宋" w:hAnsi="仿宋" w:cs="Times New Roman" w:hint="eastAsia"/>
          <w:kern w:val="0"/>
          <w:sz w:val="32"/>
          <w:szCs w:val="32"/>
        </w:rPr>
        <w:t>”。</w:t>
      </w:r>
    </w:p>
    <w:p w14:paraId="7FC01A9F" w14:textId="77777777" w:rsidR="00D25E16" w:rsidRDefault="00D74D86">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以上变更内容详见《【</w:t>
      </w:r>
      <w:r>
        <w:rPr>
          <w:rFonts w:ascii="仿宋" w:eastAsia="仿宋" w:hAnsi="仿宋" w:cs="Times New Roman" w:hint="eastAsia"/>
          <w:sz w:val="32"/>
          <w:szCs w:val="32"/>
        </w:rPr>
        <w:t>信息披露文件全称】</w:t>
      </w:r>
      <w:r>
        <w:rPr>
          <w:rFonts w:ascii="仿宋" w:eastAsia="仿宋" w:hAnsi="仿宋" w:cs="Times New Roman" w:hint="eastAsia"/>
          <w:kern w:val="0"/>
          <w:sz w:val="32"/>
          <w:szCs w:val="32"/>
        </w:rPr>
        <w:t>》（更新）。</w:t>
      </w:r>
    </w:p>
    <w:p w14:paraId="07CA4C6A" w14:textId="77777777" w:rsidR="00D25E16" w:rsidRDefault="00D25E16">
      <w:pPr>
        <w:spacing w:line="560" w:lineRule="exact"/>
        <w:ind w:firstLineChars="200" w:firstLine="640"/>
        <w:rPr>
          <w:rFonts w:ascii="仿宋" w:eastAsia="仿宋" w:hAnsi="仿宋" w:cs="Times New Roman" w:hint="eastAsia"/>
          <w:kern w:val="0"/>
          <w:sz w:val="32"/>
          <w:szCs w:val="32"/>
        </w:rPr>
      </w:pPr>
    </w:p>
    <w:p w14:paraId="76E23248" w14:textId="77777777" w:rsidR="00D25E16" w:rsidRDefault="00D25E16">
      <w:pPr>
        <w:spacing w:line="560" w:lineRule="exact"/>
        <w:ind w:firstLineChars="200" w:firstLine="640"/>
        <w:rPr>
          <w:rFonts w:ascii="仿宋" w:eastAsia="仿宋" w:hAnsi="仿宋" w:cs="Times New Roman" w:hint="eastAsia"/>
          <w:kern w:val="0"/>
          <w:sz w:val="32"/>
          <w:szCs w:val="32"/>
        </w:rPr>
      </w:pPr>
    </w:p>
    <w:p w14:paraId="5EAFE1B3"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【创设机构全称及单位公章】</w:t>
      </w:r>
    </w:p>
    <w:p w14:paraId="1C727F73"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6F901612" w14:textId="77777777" w:rsidR="00D25E16" w:rsidRDefault="00D25E16">
      <w:pPr>
        <w:spacing w:line="560" w:lineRule="exact"/>
        <w:ind w:firstLineChars="200" w:firstLine="640"/>
        <w:rPr>
          <w:rFonts w:ascii="仿宋" w:eastAsia="仿宋" w:hAnsi="仿宋" w:cs="Times New Roman" w:hint="eastAsia"/>
          <w:kern w:val="0"/>
          <w:sz w:val="32"/>
          <w:szCs w:val="32"/>
        </w:rPr>
      </w:pPr>
    </w:p>
    <w:p w14:paraId="05ABB2B2" w14:textId="77777777" w:rsidR="00D25E16" w:rsidRDefault="00D74D86">
      <w:pPr>
        <w:widowControl/>
        <w:spacing w:line="560" w:lineRule="exact"/>
        <w:jc w:val="left"/>
        <w:rPr>
          <w:rFonts w:ascii="仿宋" w:eastAsia="仿宋" w:hAnsi="仿宋" w:cs="楷体_GB2312" w:hint="eastAsia"/>
          <w:kern w:val="0"/>
          <w:sz w:val="32"/>
          <w:szCs w:val="32"/>
        </w:rPr>
      </w:pPr>
      <w:r>
        <w:rPr>
          <w:rFonts w:ascii="仿宋" w:eastAsia="仿宋" w:hAnsi="仿宋" w:cs="Times New Roman"/>
          <w:kern w:val="0"/>
          <w:sz w:val="32"/>
          <w:szCs w:val="32"/>
        </w:rPr>
        <w:br w:type="page"/>
      </w:r>
      <w:r>
        <w:rPr>
          <w:rFonts w:ascii="仿宋" w:eastAsia="仿宋" w:hAnsi="仿宋" w:cs="楷体_GB2312" w:hint="eastAsia"/>
          <w:kern w:val="0"/>
          <w:sz w:val="32"/>
          <w:szCs w:val="32"/>
        </w:rPr>
        <w:lastRenderedPageBreak/>
        <w:t>附件7：</w:t>
      </w:r>
    </w:p>
    <w:p w14:paraId="26F2F769"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13" w:name="_Toc205973745"/>
      <w:r>
        <w:rPr>
          <w:rFonts w:ascii="方正小标宋简体" w:eastAsia="方正小标宋简体" w:hAnsi="仿宋" w:cs="楷体_GB2312" w:hint="eastAsia"/>
          <w:bCs/>
          <w:kern w:val="0"/>
          <w:sz w:val="44"/>
          <w:szCs w:val="44"/>
        </w:rPr>
        <w:t>【创设机构全称】关于【重大事项概述】的公告</w:t>
      </w:r>
      <w:bookmarkEnd w:id="313"/>
    </w:p>
    <w:p w14:paraId="520A3915" w14:textId="77777777" w:rsidR="00D25E16" w:rsidRDefault="00D25E16">
      <w:pPr>
        <w:adjustRightInd w:val="0"/>
        <w:snapToGrid w:val="0"/>
        <w:spacing w:line="560" w:lineRule="exact"/>
        <w:ind w:firstLineChars="200" w:firstLine="643"/>
        <w:rPr>
          <w:rFonts w:ascii="仿宋" w:eastAsia="仿宋" w:hAnsi="仿宋" w:cs="Times New Roman" w:hint="eastAsia"/>
          <w:b/>
          <w:sz w:val="32"/>
          <w:szCs w:val="32"/>
        </w:rPr>
      </w:pPr>
    </w:p>
    <w:p w14:paraId="6D3CAE79" w14:textId="77777777" w:rsidR="00D25E16" w:rsidRDefault="00D74D86">
      <w:pPr>
        <w:adjustRightInd w:val="0"/>
        <w:snapToGrid w:val="0"/>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【创设机构全称】发生【重大事项概述】的事项，具体情况公告如下。</w:t>
      </w:r>
    </w:p>
    <w:p w14:paraId="4BFE3B9C" w14:textId="77777777" w:rsidR="00D25E16" w:rsidRDefault="00D74D86">
      <w:pPr>
        <w:adjustRightInd w:val="0"/>
        <w:snapToGrid w:val="0"/>
        <w:spacing w:line="560" w:lineRule="exact"/>
        <w:ind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一、事项基本情况</w:t>
      </w:r>
    </w:p>
    <w:p w14:paraId="7341BFFD" w14:textId="77777777" w:rsidR="00D25E16" w:rsidRDefault="00D74D86">
      <w:pPr>
        <w:adjustRightInd w:val="0"/>
        <w:snapToGrid w:val="0"/>
        <w:spacing w:line="560" w:lineRule="exact"/>
        <w:ind w:firstLineChars="200" w:firstLine="640"/>
        <w:rPr>
          <w:rFonts w:ascii="仿宋" w:eastAsia="仿宋" w:hAnsi="仿宋" w:cs="Times New Roman" w:hint="eastAsia"/>
          <w:bCs/>
          <w:sz w:val="32"/>
          <w:szCs w:val="32"/>
        </w:rPr>
      </w:pPr>
      <w:r>
        <w:rPr>
          <w:rFonts w:ascii="仿宋" w:eastAsia="仿宋" w:hAnsi="仿宋" w:cs="Times New Roman" w:hint="eastAsia"/>
          <w:bCs/>
          <w:sz w:val="32"/>
          <w:szCs w:val="32"/>
        </w:rPr>
        <w:t>【请说明事项背景、原因、具体情况及进展情况。】</w:t>
      </w:r>
    </w:p>
    <w:p w14:paraId="3C6F3177" w14:textId="77777777" w:rsidR="00D25E16" w:rsidRDefault="00D74D86">
      <w:pPr>
        <w:adjustRightInd w:val="0"/>
        <w:snapToGrid w:val="0"/>
        <w:spacing w:line="560" w:lineRule="exact"/>
        <w:ind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二、影响分析（如有）</w:t>
      </w:r>
    </w:p>
    <w:p w14:paraId="10C97315" w14:textId="77777777" w:rsidR="00D25E16" w:rsidRDefault="00D74D86">
      <w:pPr>
        <w:adjustRightInd w:val="0"/>
        <w:snapToGrid w:val="0"/>
        <w:spacing w:line="560" w:lineRule="exact"/>
        <w:ind w:firstLineChars="200" w:firstLine="640"/>
        <w:rPr>
          <w:rFonts w:ascii="仿宋" w:eastAsia="仿宋" w:hAnsi="仿宋" w:cs="Times New Roman" w:hint="eastAsia"/>
          <w:bCs/>
          <w:sz w:val="32"/>
          <w:szCs w:val="32"/>
        </w:rPr>
      </w:pPr>
      <w:r>
        <w:rPr>
          <w:rFonts w:ascii="仿宋" w:eastAsia="仿宋" w:hAnsi="仿宋" w:cs="Times New Roman" w:hint="eastAsia"/>
          <w:bCs/>
          <w:sz w:val="32"/>
          <w:szCs w:val="32"/>
        </w:rPr>
        <w:t>【请说明可能对创设机构偿付能力的影响分析。】</w:t>
      </w:r>
    </w:p>
    <w:p w14:paraId="1B509FBC" w14:textId="77777777" w:rsidR="00D25E16" w:rsidRDefault="00D74D86">
      <w:pPr>
        <w:adjustRightInd w:val="0"/>
        <w:snapToGrid w:val="0"/>
        <w:spacing w:line="560" w:lineRule="exact"/>
        <w:ind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三、应对措施（如有）</w:t>
      </w:r>
    </w:p>
    <w:p w14:paraId="7F0C9E20" w14:textId="77777777" w:rsidR="00D25E16" w:rsidRDefault="00D74D86">
      <w:pPr>
        <w:adjustRightInd w:val="0"/>
        <w:snapToGrid w:val="0"/>
        <w:spacing w:line="560" w:lineRule="exact"/>
        <w:ind w:firstLineChars="200" w:firstLine="640"/>
        <w:rPr>
          <w:rFonts w:ascii="仿宋" w:eastAsia="仿宋" w:hAnsi="仿宋" w:cs="Times New Roman" w:hint="eastAsia"/>
          <w:bCs/>
          <w:sz w:val="32"/>
          <w:szCs w:val="32"/>
        </w:rPr>
      </w:pPr>
      <w:r>
        <w:rPr>
          <w:rFonts w:ascii="仿宋" w:eastAsia="仿宋" w:hAnsi="仿宋" w:cs="Times New Roman" w:hint="eastAsia"/>
          <w:bCs/>
          <w:sz w:val="32"/>
          <w:szCs w:val="32"/>
        </w:rPr>
        <w:t>【请说明创设机构后续对本期凭证持有人的权益保障措施。】</w:t>
      </w:r>
    </w:p>
    <w:p w14:paraId="221B1F9F" w14:textId="77777777" w:rsidR="00D25E16" w:rsidRDefault="00D74D86">
      <w:pPr>
        <w:adjustRightInd w:val="0"/>
        <w:snapToGrid w:val="0"/>
        <w:spacing w:line="560" w:lineRule="exact"/>
        <w:ind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四、信息披露承诺</w:t>
      </w:r>
    </w:p>
    <w:p w14:paraId="0598E31E" w14:textId="77777777" w:rsidR="00D25E16" w:rsidRDefault="00D74D86">
      <w:pPr>
        <w:adjustRightInd w:val="0"/>
        <w:snapToGrid w:val="0"/>
        <w:spacing w:line="560" w:lineRule="exact"/>
        <w:ind w:firstLineChars="200" w:firstLine="640"/>
        <w:rPr>
          <w:rFonts w:ascii="仿宋" w:eastAsia="仿宋" w:hAnsi="仿宋" w:cs="Times New Roman" w:hint="eastAsia"/>
          <w:bCs/>
          <w:sz w:val="32"/>
          <w:szCs w:val="32"/>
        </w:rPr>
      </w:pPr>
      <w:r>
        <w:rPr>
          <w:rFonts w:ascii="仿宋" w:eastAsia="仿宋" w:hAnsi="仿宋" w:cs="Times New Roman" w:hint="eastAsia"/>
          <w:bCs/>
          <w:sz w:val="32"/>
          <w:szCs w:val="32"/>
        </w:rPr>
        <w:t>本公司及全体董事、监事、高级管理人员或履行同等职责的人员承诺公告内容的真实、准确、完整、及时，并将按照银行间市场相关自律规则的规定，履行相关后续信息披露义务。</w:t>
      </w:r>
    </w:p>
    <w:p w14:paraId="554DACE5" w14:textId="77777777" w:rsidR="00D25E16" w:rsidRDefault="00D74D86">
      <w:pPr>
        <w:adjustRightInd w:val="0"/>
        <w:snapToGrid w:val="0"/>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特此公告。</w:t>
      </w:r>
    </w:p>
    <w:p w14:paraId="1FEEB379" w14:textId="77777777" w:rsidR="00D25E16" w:rsidRDefault="00D25E16">
      <w:pPr>
        <w:adjustRightInd w:val="0"/>
        <w:snapToGrid w:val="0"/>
        <w:spacing w:line="560" w:lineRule="exact"/>
        <w:ind w:firstLineChars="200" w:firstLine="640"/>
        <w:rPr>
          <w:rFonts w:ascii="仿宋" w:eastAsia="仿宋" w:hAnsi="仿宋" w:cs="宋体" w:hint="eastAsia"/>
          <w:sz w:val="32"/>
          <w:szCs w:val="32"/>
        </w:rPr>
      </w:pPr>
    </w:p>
    <w:p w14:paraId="2367DA1D"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【创设机构全称及单位公章】</w:t>
      </w:r>
    </w:p>
    <w:p w14:paraId="62274401"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1768C06B" w14:textId="77777777" w:rsidR="00D25E16" w:rsidRDefault="00D74D86">
      <w:pPr>
        <w:widowControl/>
        <w:spacing w:line="560" w:lineRule="exact"/>
        <w:jc w:val="left"/>
        <w:rPr>
          <w:rFonts w:ascii="仿宋" w:eastAsia="仿宋" w:hAnsi="仿宋" w:cs="楷体_GB2312" w:hint="eastAsia"/>
          <w:kern w:val="0"/>
          <w:sz w:val="32"/>
          <w:szCs w:val="32"/>
        </w:rPr>
      </w:pPr>
      <w:r>
        <w:rPr>
          <w:rFonts w:ascii="仿宋" w:eastAsia="仿宋" w:hAnsi="仿宋" w:cs="Times New Roman"/>
          <w:kern w:val="0"/>
          <w:sz w:val="32"/>
          <w:szCs w:val="32"/>
        </w:rPr>
        <w:br w:type="page"/>
      </w:r>
      <w:r>
        <w:rPr>
          <w:rFonts w:ascii="仿宋" w:eastAsia="仿宋" w:hAnsi="仿宋" w:cs="楷体_GB2312" w:hint="eastAsia"/>
          <w:kern w:val="0"/>
          <w:sz w:val="32"/>
          <w:szCs w:val="32"/>
        </w:rPr>
        <w:lastRenderedPageBreak/>
        <w:t>附件8：</w:t>
      </w:r>
    </w:p>
    <w:p w14:paraId="28AA8B7C"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14" w:name="_Toc205973746"/>
      <w:r>
        <w:rPr>
          <w:rFonts w:ascii="方正小标宋简体" w:eastAsia="方正小标宋简体" w:hAnsi="仿宋" w:cs="楷体_GB2312" w:hint="eastAsia"/>
          <w:bCs/>
          <w:kern w:val="0"/>
          <w:sz w:val="44"/>
          <w:szCs w:val="44"/>
        </w:rPr>
        <w:t>【本期凭证全称】提前注销情况公告</w:t>
      </w:r>
      <w:bookmarkEnd w:id="314"/>
    </w:p>
    <w:p w14:paraId="31B5D9E2" w14:textId="77777777" w:rsidR="00D25E16" w:rsidRDefault="00D25E16">
      <w:pPr>
        <w:spacing w:line="560" w:lineRule="exact"/>
        <w:rPr>
          <w:rFonts w:ascii="仿宋" w:eastAsia="仿宋" w:hAnsi="仿宋" w:cs="Times New Roman" w:hint="eastAsia"/>
          <w:kern w:val="0"/>
          <w:sz w:val="32"/>
          <w:szCs w:val="32"/>
        </w:rPr>
      </w:pPr>
    </w:p>
    <w:p w14:paraId="287471AB" w14:textId="77777777" w:rsidR="00D25E16" w:rsidRDefault="00D74D86">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bCs/>
          <w:sz w:val="32"/>
          <w:szCs w:val="32"/>
        </w:rPr>
        <w:t>【创设机构全称】</w:t>
      </w:r>
      <w:r>
        <w:rPr>
          <w:rFonts w:ascii="仿宋" w:eastAsia="仿宋" w:hAnsi="仿宋" w:cs="Times New Roman" w:hint="eastAsia"/>
          <w:kern w:val="0"/>
          <w:sz w:val="32"/>
          <w:szCs w:val="32"/>
        </w:rPr>
        <w:t>于【】年【】月【】日因【提前注销原因，包括但不限于二级市场购回、持有人申请等】，提前注销名义本金【】万元的</w:t>
      </w:r>
      <w:r>
        <w:rPr>
          <w:rFonts w:ascii="仿宋" w:eastAsia="仿宋" w:hAnsi="仿宋" w:cs="Times New Roman" w:hint="eastAsia"/>
          <w:bCs/>
          <w:sz w:val="32"/>
          <w:szCs w:val="32"/>
        </w:rPr>
        <w:t>【本期凭证全称】</w:t>
      </w:r>
      <w:r>
        <w:rPr>
          <w:rFonts w:ascii="仿宋" w:eastAsia="仿宋" w:hAnsi="仿宋" w:cs="Times New Roman" w:hint="eastAsia"/>
          <w:kern w:val="0"/>
          <w:sz w:val="32"/>
          <w:szCs w:val="32"/>
        </w:rPr>
        <w:t>。</w:t>
      </w:r>
    </w:p>
    <w:p w14:paraId="16397A4D" w14:textId="77777777" w:rsidR="00D25E16" w:rsidRDefault="00D74D86">
      <w:pPr>
        <w:spacing w:line="560" w:lineRule="exact"/>
        <w:ind w:firstLineChars="200" w:firstLine="640"/>
        <w:rPr>
          <w:rFonts w:ascii="仿宋" w:eastAsia="仿宋" w:hAnsi="仿宋" w:cs="Times New Roman" w:hint="eastAsia"/>
          <w:kern w:val="0"/>
          <w:sz w:val="32"/>
          <w:szCs w:val="32"/>
        </w:rPr>
      </w:pPr>
      <w:r>
        <w:rPr>
          <w:rFonts w:ascii="仿宋" w:eastAsia="仿宋" w:hAnsi="仿宋" w:cs="Times New Roman" w:hint="eastAsia"/>
          <w:kern w:val="0"/>
          <w:sz w:val="32"/>
          <w:szCs w:val="32"/>
        </w:rPr>
        <w:t>注销后，【</w:t>
      </w:r>
      <w:r>
        <w:rPr>
          <w:rFonts w:ascii="仿宋" w:eastAsia="仿宋" w:hAnsi="仿宋" w:cs="Times New Roman" w:hint="eastAsia"/>
          <w:bCs/>
          <w:sz w:val="32"/>
          <w:szCs w:val="32"/>
        </w:rPr>
        <w:t>本期凭证全称】</w:t>
      </w:r>
      <w:r>
        <w:rPr>
          <w:rFonts w:ascii="仿宋" w:eastAsia="仿宋" w:hAnsi="仿宋" w:cs="Times New Roman" w:hint="eastAsia"/>
          <w:kern w:val="0"/>
          <w:sz w:val="32"/>
          <w:szCs w:val="32"/>
        </w:rPr>
        <w:t>名义本金由【】万元核减至【】万元。</w:t>
      </w:r>
    </w:p>
    <w:p w14:paraId="361592E5" w14:textId="77777777" w:rsidR="00D25E16" w:rsidRDefault="00D25E16">
      <w:pPr>
        <w:spacing w:line="560" w:lineRule="exact"/>
        <w:rPr>
          <w:rFonts w:ascii="仿宋" w:eastAsia="仿宋" w:hAnsi="仿宋" w:cs="Times New Roman" w:hint="eastAsia"/>
          <w:kern w:val="0"/>
          <w:sz w:val="32"/>
          <w:szCs w:val="32"/>
        </w:rPr>
      </w:pPr>
    </w:p>
    <w:p w14:paraId="74B13A7F" w14:textId="77777777" w:rsidR="00D25E16" w:rsidRDefault="00D25E16">
      <w:pPr>
        <w:spacing w:line="560" w:lineRule="exact"/>
        <w:rPr>
          <w:rFonts w:ascii="仿宋" w:eastAsia="仿宋" w:hAnsi="仿宋" w:cs="Times New Roman" w:hint="eastAsia"/>
          <w:kern w:val="0"/>
          <w:sz w:val="32"/>
          <w:szCs w:val="32"/>
        </w:rPr>
      </w:pPr>
    </w:p>
    <w:p w14:paraId="4E1E1C23"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【创设机构全称及单位公章】</w:t>
      </w:r>
    </w:p>
    <w:p w14:paraId="742A4A3F"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156F436F" w14:textId="77777777" w:rsidR="00D25E16" w:rsidRDefault="00D25E16">
      <w:pPr>
        <w:spacing w:line="560" w:lineRule="exact"/>
        <w:rPr>
          <w:rFonts w:ascii="仿宋" w:eastAsia="仿宋" w:hAnsi="仿宋" w:cs="Times New Roman" w:hint="eastAsia"/>
          <w:kern w:val="0"/>
          <w:sz w:val="32"/>
          <w:szCs w:val="32"/>
        </w:rPr>
      </w:pPr>
    </w:p>
    <w:p w14:paraId="687AA634" w14:textId="77777777" w:rsidR="00D25E16" w:rsidRDefault="00D74D86">
      <w:pPr>
        <w:widowControl/>
        <w:spacing w:line="560" w:lineRule="exact"/>
        <w:jc w:val="left"/>
        <w:rPr>
          <w:rFonts w:ascii="仿宋" w:eastAsia="仿宋" w:hAnsi="仿宋" w:cs="楷体_GB2312" w:hint="eastAsia"/>
          <w:kern w:val="0"/>
          <w:sz w:val="32"/>
          <w:szCs w:val="32"/>
        </w:rPr>
      </w:pPr>
      <w:r>
        <w:rPr>
          <w:rFonts w:ascii="仿宋" w:eastAsia="仿宋" w:hAnsi="仿宋" w:cs="Times New Roman"/>
          <w:sz w:val="32"/>
          <w:szCs w:val="32"/>
        </w:rPr>
        <w:br w:type="page"/>
      </w:r>
      <w:r>
        <w:rPr>
          <w:rFonts w:ascii="仿宋" w:eastAsia="仿宋" w:hAnsi="仿宋" w:cs="楷体_GB2312" w:hint="eastAsia"/>
          <w:kern w:val="0"/>
          <w:sz w:val="32"/>
          <w:szCs w:val="32"/>
        </w:rPr>
        <w:lastRenderedPageBreak/>
        <w:t>附件9：</w:t>
      </w:r>
    </w:p>
    <w:p w14:paraId="44471186" w14:textId="77777777" w:rsidR="00D25E16" w:rsidRDefault="00D74D86">
      <w:pPr>
        <w:widowControl/>
        <w:spacing w:line="560" w:lineRule="exact"/>
        <w:jc w:val="center"/>
        <w:outlineLvl w:val="0"/>
        <w:rPr>
          <w:rFonts w:ascii="方正小标宋简体" w:eastAsia="方正小标宋简体" w:hAnsi="仿宋" w:cs="楷体_GB2312" w:hint="eastAsia"/>
          <w:bCs/>
          <w:kern w:val="0"/>
          <w:sz w:val="44"/>
          <w:szCs w:val="44"/>
        </w:rPr>
      </w:pPr>
      <w:bookmarkStart w:id="315" w:name="_Toc205973747"/>
      <w:r>
        <w:rPr>
          <w:rFonts w:ascii="方正小标宋简体" w:eastAsia="方正小标宋简体" w:hAnsi="仿宋" w:cs="楷体_GB2312" w:hint="eastAsia"/>
          <w:bCs/>
          <w:kern w:val="0"/>
          <w:sz w:val="44"/>
          <w:szCs w:val="44"/>
        </w:rPr>
        <w:t>【本期凭证全称】信用事件触发公告</w:t>
      </w:r>
      <w:bookmarkEnd w:id="315"/>
    </w:p>
    <w:p w14:paraId="75782C73" w14:textId="77777777" w:rsidR="00D25E16" w:rsidRDefault="00D25E16">
      <w:pPr>
        <w:rPr>
          <w:rFonts w:ascii="仿宋" w:eastAsia="仿宋" w:hAnsi="仿宋" w:cs="Times New Roman" w:hint="eastAsia"/>
          <w:sz w:val="32"/>
          <w:szCs w:val="32"/>
        </w:rPr>
      </w:pPr>
    </w:p>
    <w:p w14:paraId="1E4E31C3"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经核实，</w:t>
      </w:r>
      <w:r>
        <w:rPr>
          <w:rFonts w:ascii="仿宋" w:eastAsia="仿宋" w:hAnsi="仿宋" w:cs="Times New Roman" w:hint="eastAsia"/>
          <w:kern w:val="0"/>
          <w:sz w:val="32"/>
          <w:szCs w:val="32"/>
        </w:rPr>
        <w:t>【】年【】月【】日，</w:t>
      </w:r>
      <w:r>
        <w:rPr>
          <w:rFonts w:ascii="仿宋" w:eastAsia="仿宋" w:hAnsi="仿宋" w:cs="Times New Roman" w:hint="eastAsia"/>
          <w:bCs/>
          <w:sz w:val="32"/>
          <w:szCs w:val="32"/>
        </w:rPr>
        <w:t>【本期凭证全称】</w:t>
      </w:r>
      <w:r>
        <w:rPr>
          <w:rFonts w:ascii="仿宋" w:eastAsia="仿宋" w:hAnsi="仿宋" w:cs="Times New Roman" w:hint="eastAsia"/>
          <w:kern w:val="0"/>
          <w:sz w:val="32"/>
          <w:szCs w:val="32"/>
        </w:rPr>
        <w:t>的</w:t>
      </w:r>
      <w:r>
        <w:rPr>
          <w:rFonts w:ascii="仿宋" w:eastAsia="仿宋" w:hAnsi="仿宋" w:cs="Times New Roman" w:hint="eastAsia"/>
          <w:sz w:val="32"/>
          <w:szCs w:val="32"/>
        </w:rPr>
        <w:t>参考实体【】及参考债务【】</w:t>
      </w:r>
      <w:r>
        <w:rPr>
          <w:rFonts w:ascii="仿宋" w:eastAsia="仿宋" w:hAnsi="仿宋" w:cs="Times New Roman" w:hint="eastAsia"/>
          <w:bCs/>
          <w:sz w:val="32"/>
          <w:szCs w:val="32"/>
        </w:rPr>
        <w:t>已</w:t>
      </w:r>
      <w:r>
        <w:rPr>
          <w:rFonts w:ascii="仿宋" w:eastAsia="仿宋" w:hAnsi="仿宋" w:cs="Times New Roman" w:hint="eastAsia"/>
          <w:sz w:val="32"/>
          <w:szCs w:val="32"/>
        </w:rPr>
        <w:t>触发本期产品创设说明书中约定的【信用事件种类】信用事件，具体如下：</w:t>
      </w:r>
    </w:p>
    <w:p w14:paraId="38D7D497"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【请描述信用事件具体情形】。</w:t>
      </w:r>
    </w:p>
    <w:p w14:paraId="4B037B06"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创设机构【创设机构全称】对信用事件无异议，信用事件</w:t>
      </w:r>
      <w:proofErr w:type="gramStart"/>
      <w:r>
        <w:rPr>
          <w:rFonts w:ascii="仿宋" w:eastAsia="仿宋" w:hAnsi="仿宋" w:cs="Times New Roman" w:hint="eastAsia"/>
          <w:sz w:val="32"/>
          <w:szCs w:val="32"/>
        </w:rPr>
        <w:t>决定日</w:t>
      </w:r>
      <w:proofErr w:type="gramEnd"/>
      <w:r>
        <w:rPr>
          <w:rFonts w:ascii="仿宋" w:eastAsia="仿宋" w:hAnsi="仿宋" w:cs="Times New Roman" w:hint="eastAsia"/>
          <w:sz w:val="32"/>
          <w:szCs w:val="32"/>
        </w:rPr>
        <w:t>为【首份信用事件通知有效送达之日】，即【】年【】月【】日。本期产品最后转让日期为【】年【】月【】日。本公告发布后，投资者可不再向创设机构发送信用事件通知。</w:t>
      </w:r>
    </w:p>
    <w:p w14:paraId="5F936AAC"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本期凭证采用【结算方式类型】的方式进行结算，具体结算安排如下：</w:t>
      </w:r>
    </w:p>
    <w:p w14:paraId="35702BFD" w14:textId="77777777" w:rsidR="00D25E16" w:rsidRDefault="00D74D8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【请填写具体结算安排】。</w:t>
      </w:r>
    </w:p>
    <w:p w14:paraId="2B546B25" w14:textId="77777777" w:rsidR="00D25E16" w:rsidRDefault="00D25E16">
      <w:pPr>
        <w:rPr>
          <w:rFonts w:ascii="仿宋" w:eastAsia="仿宋" w:hAnsi="仿宋" w:cs="Times New Roman" w:hint="eastAsia"/>
          <w:sz w:val="32"/>
          <w:szCs w:val="32"/>
        </w:rPr>
      </w:pPr>
    </w:p>
    <w:p w14:paraId="609F22F0" w14:textId="77777777" w:rsidR="00D25E16" w:rsidRDefault="00D25E16">
      <w:pPr>
        <w:rPr>
          <w:rFonts w:ascii="仿宋" w:eastAsia="仿宋" w:hAnsi="仿宋" w:cs="Times New Roman" w:hint="eastAsia"/>
          <w:sz w:val="32"/>
          <w:szCs w:val="32"/>
        </w:rPr>
      </w:pPr>
    </w:p>
    <w:p w14:paraId="540C2961" w14:textId="77777777" w:rsidR="00D25E16" w:rsidRDefault="00D74D86">
      <w:pPr>
        <w:widowControl/>
        <w:spacing w:line="560" w:lineRule="exact"/>
        <w:ind w:firstLineChars="200" w:firstLine="640"/>
        <w:jc w:val="right"/>
        <w:rPr>
          <w:rFonts w:ascii="仿宋" w:eastAsia="仿宋" w:hAnsi="仿宋" w:cs="楷体_GB2312" w:hint="eastAsia"/>
          <w:kern w:val="0"/>
          <w:sz w:val="32"/>
          <w:szCs w:val="32"/>
        </w:rPr>
      </w:pPr>
      <w:r>
        <w:rPr>
          <w:rFonts w:ascii="仿宋" w:eastAsia="仿宋" w:hAnsi="仿宋" w:cs="楷体_GB2312" w:hint="eastAsia"/>
          <w:kern w:val="0"/>
          <w:sz w:val="32"/>
          <w:szCs w:val="32"/>
        </w:rPr>
        <w:t>【创设机构全称及单位公章】</w:t>
      </w:r>
    </w:p>
    <w:p w14:paraId="719C400F" w14:textId="77777777" w:rsidR="00D25E16" w:rsidRDefault="00D74D86">
      <w:pPr>
        <w:wordWrap w:val="0"/>
        <w:spacing w:line="560" w:lineRule="exact"/>
        <w:jc w:val="right"/>
        <w:rPr>
          <w:rFonts w:ascii="仿宋" w:eastAsia="仿宋" w:hAnsi="仿宋" w:cs="Times New Roman" w:hint="eastAsia"/>
          <w:kern w:val="0"/>
          <w:sz w:val="32"/>
          <w:szCs w:val="32"/>
        </w:rPr>
      </w:pPr>
      <w:r>
        <w:rPr>
          <w:rFonts w:ascii="仿宋" w:eastAsia="仿宋" w:hAnsi="仿宋" w:cs="Times New Roman" w:hint="eastAsia"/>
          <w:kern w:val="0"/>
          <w:sz w:val="32"/>
          <w:szCs w:val="32"/>
        </w:rPr>
        <w:t>【】年【】月【】日</w:t>
      </w:r>
    </w:p>
    <w:p w14:paraId="125266C7" w14:textId="77777777" w:rsidR="00D25E16" w:rsidRDefault="00D25E16">
      <w:pPr>
        <w:widowControl/>
        <w:jc w:val="left"/>
        <w:rPr>
          <w:rFonts w:ascii="仿宋" w:eastAsia="仿宋" w:hAnsi="仿宋" w:cs="Times New Roman" w:hint="eastAsia"/>
          <w:color w:val="000000"/>
          <w:sz w:val="30"/>
          <w:szCs w:val="30"/>
        </w:rPr>
      </w:pPr>
    </w:p>
    <w:p w14:paraId="7E3DA659" w14:textId="77777777" w:rsidR="00D25E16" w:rsidRDefault="00D25E16">
      <w:pPr>
        <w:pStyle w:val="ad"/>
        <w:spacing w:before="0" w:beforeAutospacing="0" w:after="0" w:afterAutospacing="0" w:line="560" w:lineRule="exact"/>
        <w:rPr>
          <w:rFonts w:ascii="仿宋" w:eastAsia="仿宋" w:hAnsi="仿宋" w:hint="eastAsia"/>
          <w:sz w:val="32"/>
          <w:szCs w:val="32"/>
        </w:rPr>
      </w:pPr>
    </w:p>
    <w:sectPr w:rsidR="00D25E16" w:rsidSect="00D25E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F749" w14:textId="77777777" w:rsidR="007F1050" w:rsidRDefault="007F1050" w:rsidP="00D25E16">
      <w:r>
        <w:separator/>
      </w:r>
    </w:p>
  </w:endnote>
  <w:endnote w:type="continuationSeparator" w:id="0">
    <w:p w14:paraId="7B1CEC09" w14:textId="77777777" w:rsidR="007F1050" w:rsidRDefault="007F1050" w:rsidP="00D2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212868"/>
      <w:docPartObj>
        <w:docPartGallery w:val="Page Numbers (Bottom of Page)"/>
        <w:docPartUnique/>
      </w:docPartObj>
    </w:sdtPr>
    <w:sdtContent>
      <w:p w14:paraId="1BD80210" w14:textId="4CDDF0BA" w:rsidR="000B7EE6" w:rsidRDefault="000B7EE6">
        <w:pPr>
          <w:pStyle w:val="a7"/>
        </w:pPr>
        <w:r>
          <w:fldChar w:fldCharType="begin"/>
        </w:r>
        <w:r>
          <w:instrText>PAGE   \* MERGEFORMAT</w:instrText>
        </w:r>
        <w:r>
          <w:fldChar w:fldCharType="separate"/>
        </w:r>
        <w:r>
          <w:rPr>
            <w:lang w:val="zh-CN"/>
          </w:rPr>
          <w:t>2</w:t>
        </w:r>
        <w:r>
          <w:fldChar w:fldCharType="end"/>
        </w:r>
      </w:p>
    </w:sdtContent>
  </w:sdt>
  <w:p w14:paraId="3E1C4D93" w14:textId="0B441716" w:rsidR="00D25E16" w:rsidRDefault="00D25E16" w:rsidP="000B7E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06153"/>
      <w:docPartObj>
        <w:docPartGallery w:val="Page Numbers (Bottom of Page)"/>
        <w:docPartUnique/>
      </w:docPartObj>
    </w:sdtPr>
    <w:sdtContent>
      <w:p w14:paraId="6A4D1394" w14:textId="430ACB03" w:rsidR="000B7EE6" w:rsidRDefault="000B7EE6">
        <w:pPr>
          <w:pStyle w:val="a7"/>
          <w:jc w:val="right"/>
        </w:pPr>
        <w:r>
          <w:fldChar w:fldCharType="begin"/>
        </w:r>
        <w:r>
          <w:instrText>PAGE   \* MERGEFORMAT</w:instrText>
        </w:r>
        <w:r>
          <w:fldChar w:fldCharType="separate"/>
        </w:r>
        <w:r>
          <w:rPr>
            <w:lang w:val="zh-CN"/>
          </w:rPr>
          <w:t>2</w:t>
        </w:r>
        <w:r>
          <w:fldChar w:fldCharType="end"/>
        </w:r>
      </w:p>
    </w:sdtContent>
  </w:sdt>
  <w:p w14:paraId="41AEFD62" w14:textId="1505ED1B" w:rsidR="00D25E16" w:rsidRPr="000B7EE6" w:rsidRDefault="00D25E16" w:rsidP="000B7EE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41FB" w14:textId="77777777" w:rsidR="00D25E16" w:rsidRDefault="00D25E16">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67991"/>
      <w:docPartObj>
        <w:docPartGallery w:val="Page Numbers (Bottom of Page)"/>
        <w:docPartUnique/>
      </w:docPartObj>
    </w:sdtPr>
    <w:sdtContent>
      <w:p w14:paraId="34EBACBF" w14:textId="4BB8481C" w:rsidR="000B7EE6" w:rsidRDefault="000B7EE6">
        <w:pPr>
          <w:pStyle w:val="a7"/>
          <w:jc w:val="right"/>
        </w:pPr>
        <w:r>
          <w:fldChar w:fldCharType="begin"/>
        </w:r>
        <w:r>
          <w:instrText>PAGE   \* MERGEFORMAT</w:instrText>
        </w:r>
        <w:r>
          <w:fldChar w:fldCharType="separate"/>
        </w:r>
        <w:r>
          <w:rPr>
            <w:lang w:val="zh-CN"/>
          </w:rPr>
          <w:t>2</w:t>
        </w:r>
        <w:r>
          <w:fldChar w:fldCharType="end"/>
        </w:r>
      </w:p>
    </w:sdtContent>
  </w:sdt>
  <w:p w14:paraId="3EA1A6E7" w14:textId="52F9E349" w:rsidR="00D25E16" w:rsidRDefault="00D25E16">
    <w:pPr>
      <w:pStyle w:val="a7"/>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7202" w14:textId="77777777" w:rsidR="007F1050" w:rsidRDefault="007F1050">
      <w:r>
        <w:separator/>
      </w:r>
    </w:p>
  </w:footnote>
  <w:footnote w:type="continuationSeparator" w:id="0">
    <w:p w14:paraId="1B154124" w14:textId="77777777" w:rsidR="007F1050" w:rsidRDefault="007F1050">
      <w:r>
        <w:continuationSeparator/>
      </w:r>
    </w:p>
  </w:footnote>
  <w:footnote w:id="1">
    <w:p w14:paraId="70D15A61" w14:textId="32EF13CD"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【】括号内容为提示性内容，添加相关内容后应删除括号。下同。（脚注为提示性内容，添加使用时应删除，下同。）</w:t>
      </w:r>
    </w:p>
  </w:footnote>
  <w:footnote w:id="2">
    <w:p w14:paraId="2A854063"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年度为创设年份；期数是创设机构挂钩同一参考实体或参考债务的信用风险缓释凭证期数。</w:t>
      </w:r>
    </w:p>
  </w:footnote>
  <w:footnote w:id="3">
    <w:p w14:paraId="5503E743"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参考实体简称为登记托管机构提供的简称或参考实体常用简称。若存在多个参考实体，参考实体简称直接写为“多实体”。</w:t>
      </w:r>
    </w:p>
  </w:footnote>
  <w:footnote w:id="4">
    <w:p w14:paraId="11CBD241"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参考债务为债券的，应使用债券登记托管机构提供的简称。</w:t>
      </w:r>
    </w:p>
  </w:footnote>
  <w:footnote w:id="5">
    <w:p w14:paraId="534DC414"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将所选择的定价方式纳入释义。</w:t>
      </w:r>
    </w:p>
  </w:footnote>
  <w:footnote w:id="6">
    <w:p w14:paraId="69682382" w14:textId="1311F4F5"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中国场外信用衍生产品交易基本术语与适用规则（2022年版）》可能根据市场发展进行修订或更新，应准确写明本期凭证适用的《中国场外信用衍生产品交易基本术语与适用规则》（简称《基本术语与适用规则》）版本。下同。</w:t>
      </w:r>
    </w:p>
  </w:footnote>
  <w:footnote w:id="7">
    <w:p w14:paraId="5B270FD0" w14:textId="3A4563C9"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《中国银行间市场金融衍生产品交易主协议（凭证特别版）》可能根据市场发展进行修订或更新，应准确写明本期凭证适用的《中国银行间市场金融衍生产品交易主协议（凭证特别版）》版本。下同。</w:t>
      </w:r>
    </w:p>
  </w:footnote>
  <w:footnote w:id="8">
    <w:p w14:paraId="04967363" w14:textId="33E383D5"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本节列举的风险提示类型仅供参考，创设机构应根据自身情况和本期凭证情况予以调整和补充。</w:t>
      </w:r>
    </w:p>
  </w:footnote>
  <w:footnote w:id="9">
    <w:p w14:paraId="1AD541C2" w14:textId="30D69A20"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若创设机构与本期凭证参考实体存在关联关系，应予以说明；若没有，应填写无。</w:t>
      </w:r>
    </w:p>
  </w:footnote>
  <w:footnote w:id="10">
    <w:p w14:paraId="02486A13"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创设机构在创设说明书中对投资者适当性标准、创设安排、交易流通、结算方式、持有人会议等存在特殊要求的，应予以说明；若没有，应填写无。</w:t>
      </w:r>
    </w:p>
  </w:footnote>
  <w:footnote w:id="11">
    <w:p w14:paraId="2F1A1007"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信用事件类型及表述与《基本术语与适用规则》存在差异的，应说明差异及潜在影响；若没有，应填写无。</w:t>
      </w:r>
    </w:p>
  </w:footnote>
  <w:footnote w:id="12">
    <w:p w14:paraId="15E5AE1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指参考实体所负债务的类别，包括但不限于：付款义务、借贷款项、贷款、债务工具、贷款或债务工具、仅为参考债务。挂钩单一债券的凭证，债务类别是仅为参考债务。</w:t>
      </w:r>
    </w:p>
  </w:footnote>
  <w:footnote w:id="13">
    <w:p w14:paraId="2753A4A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指参考实体所负债务的一项或多项特征，包括但不限于一般债务、次级债务、交易流通、本币或外币等。</w:t>
      </w:r>
    </w:p>
  </w:footnote>
  <w:footnote w:id="14">
    <w:p w14:paraId="4EDFA840" w14:textId="3D27DD24"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sidR="0064744F">
        <w:rPr>
          <w:rFonts w:ascii="仿宋" w:eastAsia="仿宋" w:hAnsi="仿宋" w:hint="eastAsia"/>
        </w:rPr>
        <w:t xml:space="preserve"> </w:t>
      </w:r>
      <w:r>
        <w:rPr>
          <w:rFonts w:ascii="仿宋" w:eastAsia="仿宋" w:hAnsi="仿宋" w:hint="eastAsia"/>
        </w:rPr>
        <w:t>根据本期凭证创设面向群体范围不同，可选择填写“面向银行间市场机构投资者创设”或者“定向创设”。</w:t>
      </w:r>
    </w:p>
  </w:footnote>
  <w:footnote w:id="15">
    <w:p w14:paraId="75469170"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为支持债券发行、与参考债务联动创设的，参考表述为“拟认购【参考债务简称】的信用风险缓释工具市场参与者，并已签署和备案《中国银行间市场金融衍生产品交易主协议（凭证特别版）》。”</w:t>
      </w:r>
    </w:p>
  </w:footnote>
  <w:footnote w:id="16">
    <w:p w14:paraId="2F466EFF" w14:textId="77777777" w:rsidR="00D25E16" w:rsidRDefault="00D74D86" w:rsidP="0064744F">
      <w:pPr>
        <w:pStyle w:val="ab"/>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任何一家参与者对某一标的债务的信用风险缓释凭证的卖出余额不得超过该标的债务总余额的100%；针对某一标的债务的信用风险缓释凭证创设总规模不得超过该标的债务总余额的500%。信用风险缓释凭证创设规模按照各期限未到期余额加总计算。</w:t>
      </w:r>
    </w:p>
  </w:footnote>
  <w:footnote w:id="17">
    <w:p w14:paraId="3C1D0979" w14:textId="2C2C0C0A"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除定向创设且挂钩存续债务的信用风险缓释凭证可采用询价定价方式外，信用风险缓释凭证创设定价均应选择簿记建档方式。</w:t>
      </w:r>
    </w:p>
  </w:footnote>
  <w:footnote w:id="18">
    <w:p w14:paraId="410142D2" w14:textId="4F1322D4"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rPr>
        <w:t>视定价方式选择是否称为簿记建档日</w:t>
      </w:r>
      <w:r>
        <w:rPr>
          <w:rFonts w:ascii="仿宋" w:eastAsia="仿宋" w:hAnsi="仿宋" w:hint="eastAsia"/>
        </w:rPr>
        <w:t>。创设机构应在本创设说明书披露后十个营业日内完成销售。为支持债券发行、与参考债务联动创设的，凭证创设日应不晚于债券簿记建档日。</w:t>
      </w:r>
    </w:p>
  </w:footnote>
  <w:footnote w:id="19">
    <w:p w14:paraId="686D404A"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为支持债券发行、与参考债务联动创设的，凭证登记日应与债券登记日为同一日。</w:t>
      </w:r>
    </w:p>
  </w:footnote>
  <w:footnote w:id="20">
    <w:p w14:paraId="42483418" w14:textId="3D5B86B8"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原则上信用保护起始日和登记日应为同一日。</w:t>
      </w:r>
    </w:p>
  </w:footnote>
  <w:footnote w:id="21">
    <w:p w14:paraId="6703550F"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视情况约定前端一次性付费、按季付费、按年付费或其他付费方式。</w:t>
      </w:r>
    </w:p>
  </w:footnote>
  <w:footnote w:id="22">
    <w:p w14:paraId="05E30036" w14:textId="77777777" w:rsidR="00D25E16" w:rsidRDefault="00D74D86" w:rsidP="00BE7BB7">
      <w:pPr>
        <w:pStyle w:val="ab"/>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如果选择询价定价创设，可进行修改。</w:t>
      </w:r>
    </w:p>
  </w:footnote>
  <w:footnote w:id="23">
    <w:p w14:paraId="708BD056"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视定价方式选择是否称为簿记建档区间。</w:t>
      </w:r>
    </w:p>
  </w:footnote>
  <w:footnote w:id="24">
    <w:p w14:paraId="3EC46057" w14:textId="77777777" w:rsidR="00D25E16" w:rsidRDefault="00D74D86" w:rsidP="00BE7BB7">
      <w:pPr>
        <w:pStyle w:val="ab"/>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营业日准则是指若某一相关日期并非营业日，则根据相应准则进行调整：“下一营业日”即为相关日期顺延至下一营业日。也可视情改为“经调整的下一营业日”（即顺延至下一营业日，但如果下一</w:t>
      </w:r>
      <w:proofErr w:type="gramStart"/>
      <w:r>
        <w:rPr>
          <w:rFonts w:ascii="仿宋" w:eastAsia="仿宋" w:hAnsi="仿宋" w:hint="eastAsia"/>
        </w:rPr>
        <w:t>营业日跨至</w:t>
      </w:r>
      <w:proofErr w:type="gramEnd"/>
      <w:r>
        <w:rPr>
          <w:rFonts w:ascii="仿宋" w:eastAsia="仿宋" w:hAnsi="仿宋" w:hint="eastAsia"/>
        </w:rPr>
        <w:t>下一月，则提前至上一营业日）或“前一营业日”（即提前至上一营业日）。</w:t>
      </w:r>
    </w:p>
  </w:footnote>
  <w:footnote w:id="25">
    <w:p w14:paraId="0EB0AF11"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视情况进行选择，包括实物结算、现金结算等方式，可适用《基本术语与适用规则》相关术语及适用规则，或根据需求进行修改。</w:t>
      </w:r>
    </w:p>
  </w:footnote>
  <w:footnote w:id="26">
    <w:p w14:paraId="2B38E144"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仅适用于实物结算，指在结算日可由投资者向创设机构交割的参考实体的债务。挂钩单一债务时，可交付债务即为参考债务；挂钩主体时，应明确可交付债务种类、特征。</w:t>
      </w:r>
    </w:p>
  </w:footnote>
  <w:footnote w:id="27">
    <w:p w14:paraId="4026A91F"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仅适用于实物结算，若采用现金结算等其他结算方式，应予以调整。</w:t>
      </w:r>
    </w:p>
  </w:footnote>
  <w:footnote w:id="28">
    <w:p w14:paraId="2632E5AD"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原则上不少于10个营业日。</w:t>
      </w:r>
    </w:p>
  </w:footnote>
  <w:footnote w:id="29">
    <w:p w14:paraId="09A1E868"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选择簿记建档或询价方式进行创设，参考本节表述。根据销售方式不同，可参考本节相关不同表述。</w:t>
      </w:r>
    </w:p>
  </w:footnote>
  <w:footnote w:id="30">
    <w:p w14:paraId="235D86FE"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为支持债券发行、与参考债务联动创设的，可参考本段内容。若不涉及与参考债务联动创设，应调整本段内容。</w:t>
      </w:r>
    </w:p>
  </w:footnote>
  <w:footnote w:id="31">
    <w:p w14:paraId="5610945D"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创设机构可设置超过标的债券发行金额的计划创设名义本金上限开展预配售，但计划创设名义本金不得超过标的债务发行规模的200%，并应要求单一投资者的凭证预配售申购金额不超过标的债券发行金额，否则不予配售。在这种情况下，投资者本期凭证需要在风险提示部分注明在预配售阶段存在超额配售的可能性。</w:t>
      </w:r>
    </w:p>
  </w:footnote>
  <w:footnote w:id="32">
    <w:p w14:paraId="5518A8AC" w14:textId="77777777" w:rsidR="00D25E16" w:rsidRDefault="00D74D86">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为支持债券发行、与参考债务联动创设的，原则上预配售日当日簿记建档的截止时间与参考债务簿记建档截止日当日的截止时间一致。</w:t>
      </w:r>
    </w:p>
  </w:footnote>
  <w:footnote w:id="33">
    <w:p w14:paraId="2E0BB61D"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创设机构通过第三方技术支持机构提供且经交易商协会登记的凭证创设系统进行销售的，应注明系统名称。</w:t>
      </w:r>
    </w:p>
  </w:footnote>
  <w:footnote w:id="34">
    <w:p w14:paraId="12563208"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若本期凭证由上海清算所提供正式配售服务，可以参考本节表述。若采用其他方式进行正式配售，应调整本节内容。</w:t>
      </w:r>
    </w:p>
  </w:footnote>
  <w:footnote w:id="35">
    <w:p w14:paraId="0FCA18ED"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仅定向创设且挂钩存续债务的信用风险缓释凭证可采用询价定价方式。如采用询价方式创设，可参考本节表述。采用簿记建档方式定价的，本节内容应删除。</w:t>
      </w:r>
    </w:p>
  </w:footnote>
  <w:footnote w:id="36">
    <w:p w14:paraId="572B0287"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创设机构通过第三方技术支持机构提供且经交易商协会登记的凭证创设系统进行销售的，应注明系统名称。</w:t>
      </w:r>
    </w:p>
  </w:footnote>
  <w:footnote w:id="37">
    <w:p w14:paraId="280CEB5B"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对于定向创设的信用风险缓释凭证，应在本条明确“交易流通范围仅限于经创设机构选定的特定银行间市场机构投资者。其他投资者拟参与交易流通的，应经创设机构同意并由创设机构书面告知交易平台和登记托管机构后方可参与交易。”</w:t>
      </w:r>
    </w:p>
  </w:footnote>
  <w:footnote w:id="38">
    <w:p w14:paraId="12ADD4A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创设机构</w:t>
      </w:r>
      <w:r>
        <w:rPr>
          <w:rFonts w:ascii="仿宋" w:eastAsia="仿宋" w:hAnsi="仿宋"/>
        </w:rPr>
        <w:t>视情况决定是否披露其</w:t>
      </w:r>
      <w:r>
        <w:rPr>
          <w:rFonts w:ascii="仿宋" w:eastAsia="仿宋" w:hAnsi="仿宋" w:hint="eastAsia"/>
        </w:rPr>
        <w:t>主体信用评级报告及跟踪主体信用评级报告。如选择不披露，应删除相关条款。</w:t>
      </w:r>
    </w:p>
  </w:footnote>
  <w:footnote w:id="39">
    <w:p w14:paraId="31C304C6"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创设机构变更价格区间或延长申购截止时间原则上仅限一次。延长申购截止时间的，延长时长不低于30分钟。为支持债券发行、与参考债务发行联动创设的信用风险缓释凭证，延长后的簿记建档截止时间也应遵守参考债务簿记建档截止日最晚截止时间相关要求。</w:t>
      </w:r>
    </w:p>
  </w:footnote>
  <w:footnote w:id="40">
    <w:p w14:paraId="219AE311"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为支持债券发行、与参考债务联动创设的，可参考本段内容。若不涉及与参考债务联动创设，应删除本段内容。</w:t>
      </w:r>
    </w:p>
  </w:footnote>
  <w:footnote w:id="41">
    <w:p w14:paraId="4E05D36C"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创设机构作为上市企业或金融债券发行机构已按照相关管理部门要求披露财务报告的，可以通过文字说明后附网页链接的方式完成披露。</w:t>
      </w:r>
    </w:p>
  </w:footnote>
  <w:footnote w:id="42">
    <w:p w14:paraId="508CC4AE"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创设机构</w:t>
      </w:r>
      <w:r>
        <w:rPr>
          <w:rFonts w:ascii="仿宋" w:eastAsia="仿宋" w:hAnsi="仿宋"/>
        </w:rPr>
        <w:t>视情况决定是否披露其</w:t>
      </w:r>
      <w:r>
        <w:rPr>
          <w:rFonts w:ascii="仿宋" w:eastAsia="仿宋" w:hAnsi="仿宋" w:hint="eastAsia"/>
        </w:rPr>
        <w:t>主体信用评级报告及跟踪主体信用评级报告。如选择不披露，应删除相关条款。</w:t>
      </w:r>
    </w:p>
  </w:footnote>
  <w:footnote w:id="43">
    <w:p w14:paraId="43621702"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创设机构作为上市企业或金融债券发行机构已按照相关管理部门要求披露财务报告的，可以通过文字说明后附网页链接的方式完成披露。</w:t>
      </w:r>
    </w:p>
  </w:footnote>
  <w:footnote w:id="44">
    <w:p w14:paraId="251992BA"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包括公司名称、法定代表人、设立日期、注册资本、实缴资本、住所、邮编、本期凭证联系人及其联系方式（包括姓名、部门、地址、电话、传真、邮箱等）、所属行业、经营范围、组织架构、主管部门批准的业务资格与资质、所从事的主要业务等。</w:t>
      </w:r>
    </w:p>
  </w:footnote>
  <w:footnote w:id="45">
    <w:p w14:paraId="611EABBB"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包括针对创设机构的信用评级、信用评级机构名称。视创设机构情况决定是否予以披露。</w:t>
      </w:r>
    </w:p>
  </w:footnote>
  <w:footnote w:id="46">
    <w:p w14:paraId="70AF0DAE"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包括最近三年财务报表及最近一期半年度会计报表相关情况、财务报表适用的会计准则、财务概要分析等，以列表形式披露最近三年及最近一期半年度资产负债表、利润表及现金流量表，注明数据来源。企业编制合并财务报表的，同时披露合并和母公司财务报表。</w:t>
      </w:r>
    </w:p>
  </w:footnote>
  <w:footnote w:id="47">
    <w:p w14:paraId="06ACC9DF"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包括最近两年内创设机构（不含分支机构）是否存在重大违法违规及受处罚的情况，董事、监事、高级管理人员的任职是否符合相关法律法规及公司章程要求。</w:t>
      </w:r>
    </w:p>
  </w:footnote>
  <w:footnote w:id="48">
    <w:p w14:paraId="2DC914A7"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包括中文全称及简称、住所、法定代表人、统一社会信用代码、全球法人机构识别编码（如有）等信息。参考实体为信托等非法人实体的，包括信托名称及受托人等信息。参考实体为多个实体的，需详细列明每个参考实体的信息。</w:t>
      </w:r>
    </w:p>
  </w:footnote>
  <w:footnote w:id="49">
    <w:p w14:paraId="162A1DB1"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指参考实体所负债务的类别，包括但不限于：付款义务、借贷款项、贷款、债务工具、贷款或债务工具、仅为参考债务。挂钩单一债券的凭证，债务类别为仅为参考债务。</w:t>
      </w:r>
    </w:p>
  </w:footnote>
  <w:footnote w:id="50">
    <w:p w14:paraId="68C1CCAA"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rPr>
        <w:t xml:space="preserve"> 指参考实体所负债务的一项或多项特征，包括但不限于一般债务、次级债务、交易流通、本币或外币等特征。</w:t>
      </w:r>
    </w:p>
  </w:footnote>
  <w:footnote w:id="51">
    <w:p w14:paraId="6DD58CE4" w14:textId="77777777" w:rsidR="00D25E16" w:rsidRDefault="00D74D86" w:rsidP="00BE7BB7">
      <w:pPr>
        <w:pStyle w:val="ab"/>
        <w:widowControl/>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 xml:space="preserve"> </w:t>
      </w:r>
      <w:proofErr w:type="gramStart"/>
      <w:r>
        <w:rPr>
          <w:rFonts w:ascii="仿宋" w:eastAsia="仿宋" w:hAnsi="仿宋" w:hint="eastAsia"/>
        </w:rPr>
        <w:t>若参</w:t>
      </w:r>
      <w:proofErr w:type="gramEnd"/>
      <w:r>
        <w:rPr>
          <w:rFonts w:ascii="仿宋" w:eastAsia="仿宋" w:hAnsi="仿宋" w:hint="eastAsia"/>
        </w:rPr>
        <w:t>考债务为债券，列举参考债务名称、发行人、主承销商、发行金额或存续金额、期限、面值、发行利率（如有）、发行日、起息日、缴款日、债权登记日、交易流通日、兑付日、登记和托管机构、担保增信情况、信用评级机构及评级结果（如有）等信息；</w:t>
      </w:r>
      <w:proofErr w:type="gramStart"/>
      <w:r>
        <w:rPr>
          <w:rFonts w:ascii="仿宋" w:eastAsia="仿宋" w:hAnsi="仿宋" w:hint="eastAsia"/>
        </w:rPr>
        <w:t>若参</w:t>
      </w:r>
      <w:proofErr w:type="gramEnd"/>
      <w:r>
        <w:rPr>
          <w:rFonts w:ascii="仿宋" w:eastAsia="仿宋" w:hAnsi="仿宋" w:hint="eastAsia"/>
        </w:rPr>
        <w:t>考债务为资产证券化产品，列举参考债务名称、发起机构、发行人、主承销商、基础资产类型、发行金额或存续金额、期限、面值、发行利率（如有）、发行日、起息日、缴款日、债权登记日、交易流通日、预期到期日、法定到期日、登记和托管机构、担保增信情况、信用评级机构及评级结果（如有）等信息；</w:t>
      </w:r>
      <w:proofErr w:type="gramStart"/>
      <w:r>
        <w:rPr>
          <w:rFonts w:ascii="仿宋" w:eastAsia="仿宋" w:hAnsi="仿宋" w:hint="eastAsia"/>
        </w:rPr>
        <w:t>若参</w:t>
      </w:r>
      <w:proofErr w:type="gramEnd"/>
      <w:r>
        <w:rPr>
          <w:rFonts w:ascii="仿宋" w:eastAsia="仿宋" w:hAnsi="仿宋" w:hint="eastAsia"/>
        </w:rPr>
        <w:t>考债务为贷款，列举合同名称、合同编号、借据（如有）编号、借款人、贷款人、签署日、到期日、贷款金额、贷款本金余额等信息。</w:t>
      </w:r>
    </w:p>
  </w:footnote>
  <w:footnote w:id="52">
    <w:p w14:paraId="348AFFB0"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参考债务若发生分期偿付、提前兑付、含权债券行权等导致参考债务规模缩减的情形时，投资人可以根据自身</w:t>
      </w:r>
      <w:proofErr w:type="gramStart"/>
      <w:r>
        <w:rPr>
          <w:rFonts w:ascii="仿宋" w:eastAsia="仿宋" w:hAnsi="仿宋" w:hint="eastAsia"/>
        </w:rPr>
        <w:t>持债情况</w:t>
      </w:r>
      <w:proofErr w:type="gramEnd"/>
      <w:r>
        <w:rPr>
          <w:rFonts w:ascii="仿宋" w:eastAsia="仿宋" w:hAnsi="仿宋" w:hint="eastAsia"/>
        </w:rPr>
        <w:t>与创设机构沟通提前注销持有的本期凭证相应金额。</w:t>
      </w:r>
    </w:p>
  </w:footnote>
  <w:footnote w:id="53">
    <w:p w14:paraId="537FDC53"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提前终止情形可在符合交易商协会和登记托管机构相关规则基础上视情况进一步约定。</w:t>
      </w:r>
    </w:p>
  </w:footnote>
  <w:footnote w:id="54">
    <w:p w14:paraId="6B3450BD"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rPr>
        <w:t>视情况确定本期凭证适用的一个或多个信用事件</w:t>
      </w:r>
      <w:r>
        <w:rPr>
          <w:rFonts w:ascii="仿宋" w:eastAsia="仿宋" w:hAnsi="仿宋" w:hint="eastAsia"/>
        </w:rPr>
        <w:t>，可适用《基本术语与适用规则》列明的破产、支付违约、债务加速到期、债务潜在加速到期、债务重组等相关术语及适用规则，或根据需求进行修改。若进行了修改，应在本创设说明书第二章“风险提示及特别说明”中予以说明。</w:t>
      </w:r>
    </w:p>
  </w:footnote>
  <w:footnote w:id="55">
    <w:p w14:paraId="510A54C6"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若设置宽限期与起点金额，应明确具体天数及金额。为避免约定到期日早于宽限期到期日，宽限期需要补充如下表述“本期凭证适用宽限期顺延，即在一项潜在支付违约发生于约定到期日或之前，即使适用的宽限期到期之日晚于约定到期日，参考债务仍然适用该宽限期，不受约定到期日的影响。该宽限期到期之日为本期凭证的到期日。”此外，参考债务为资产证券化产品、贷款等类别的，支付违约的具体定义和表述可根据相关参考债务相关法律文件予以调整。</w:t>
      </w:r>
    </w:p>
  </w:footnote>
  <w:footnote w:id="56">
    <w:p w14:paraId="14632259"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若设置起点金额，应明确具体金额。</w:t>
      </w:r>
    </w:p>
  </w:footnote>
  <w:footnote w:id="57">
    <w:p w14:paraId="3A2971D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若设置起点金额，应明确具体金额。</w:t>
      </w:r>
    </w:p>
  </w:footnote>
  <w:footnote w:id="58">
    <w:p w14:paraId="630055AF"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若设置起点金额，应明确具体金额。</w:t>
      </w:r>
    </w:p>
  </w:footnote>
  <w:footnote w:id="59">
    <w:p w14:paraId="1EE416F5"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rPr>
        <w:t>视情况确定是否适用</w:t>
      </w:r>
      <w:r>
        <w:rPr>
          <w:rFonts w:ascii="仿宋" w:eastAsia="仿宋" w:hAnsi="仿宋" w:hint="eastAsia"/>
        </w:rPr>
        <w:t>公开信息通知，若不适用，应删除。</w:t>
      </w:r>
    </w:p>
  </w:footnote>
  <w:footnote w:id="60">
    <w:p w14:paraId="2F517C90"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结算方式为实物结算时适用，否则应删除。</w:t>
      </w:r>
    </w:p>
  </w:footnote>
  <w:footnote w:id="61">
    <w:p w14:paraId="642465B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rPr>
        <w:t>视情况确定信用事件通知方</w:t>
      </w:r>
      <w:r>
        <w:rPr>
          <w:rFonts w:ascii="仿宋" w:eastAsia="仿宋" w:hAnsi="仿宋" w:hint="eastAsia"/>
        </w:rPr>
        <w:t>。</w:t>
      </w:r>
    </w:p>
  </w:footnote>
  <w:footnote w:id="62">
    <w:p w14:paraId="635E3F25"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视情况约定信用事件通知送达期期限。</w:t>
      </w:r>
    </w:p>
  </w:footnote>
  <w:footnote w:id="63">
    <w:p w14:paraId="31A95458"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rPr>
        <w:t>视情况</w:t>
      </w:r>
      <w:r>
        <w:rPr>
          <w:rFonts w:ascii="仿宋" w:eastAsia="仿宋" w:hAnsi="仿宋" w:hint="eastAsia"/>
        </w:rPr>
        <w:t>约定，需要考虑是否适用公开信息通知以及是否选择分别送达通知确定多个信用事件确定日等情况。若选择分别送达通知确定多个信用事件确定日，则本段内容需要</w:t>
      </w:r>
      <w:proofErr w:type="gramStart"/>
      <w:r>
        <w:rPr>
          <w:rFonts w:ascii="仿宋" w:eastAsia="仿宋" w:hAnsi="仿宋" w:hint="eastAsia"/>
        </w:rPr>
        <w:t>作出</w:t>
      </w:r>
      <w:proofErr w:type="gramEnd"/>
      <w:r>
        <w:rPr>
          <w:rFonts w:ascii="仿宋" w:eastAsia="仿宋" w:hAnsi="仿宋" w:hint="eastAsia"/>
        </w:rPr>
        <w:t>相应调整。</w:t>
      </w:r>
    </w:p>
  </w:footnote>
  <w:footnote w:id="64">
    <w:p w14:paraId="48158F0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rPr>
        <w:t>视情况确定是否适用</w:t>
      </w:r>
      <w:r>
        <w:rPr>
          <w:rFonts w:ascii="仿宋" w:eastAsia="仿宋" w:hAnsi="仿宋" w:hint="eastAsia"/>
        </w:rPr>
        <w:t>公开信息通知，若不适用，应删除。</w:t>
      </w:r>
    </w:p>
  </w:footnote>
  <w:footnote w:id="65">
    <w:p w14:paraId="7E1C0DCC"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结算方式为实物结算时适用，否则应删除。</w:t>
      </w:r>
    </w:p>
  </w:footnote>
  <w:footnote w:id="66">
    <w:p w14:paraId="154A55A8"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视情况约定该通知期限。</w:t>
      </w:r>
    </w:p>
  </w:footnote>
  <w:footnote w:id="67">
    <w:p w14:paraId="5FC4BBF6"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视情况进行选择，包括实物结算、现金结算等方式，可适用《基本术语与适用规则》相关术语及适用规则，或根据需求进行修改。</w:t>
      </w:r>
    </w:p>
  </w:footnote>
  <w:footnote w:id="68">
    <w:p w14:paraId="196BB379"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根据本期凭证选择的结算方式进行填写。以下未选择的结算方式相关结算安排内容应删除。</w:t>
      </w:r>
    </w:p>
  </w:footnote>
  <w:footnote w:id="69">
    <w:p w14:paraId="53D0DA09"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视情况约定参考债务或者可交付债务种类、可交付债务特征。存在多笔可交付债务的，可视情况约定交割顺序。未约定的，投资者可以按照最廉价交割等市场化原则进行交割。</w:t>
      </w:r>
    </w:p>
  </w:footnote>
  <w:footnote w:id="70">
    <w:p w14:paraId="0E496423"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视情况约定是否包含截至参考债务到期日或实物结算日参考债务对应面值的应付未付利息等。</w:t>
      </w:r>
    </w:p>
  </w:footnote>
  <w:footnote w:id="71">
    <w:p w14:paraId="30935687"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视情况约定计算机构，可以为创设机构、投资者或</w:t>
      </w:r>
      <w:proofErr w:type="gramStart"/>
      <w:r>
        <w:rPr>
          <w:rFonts w:ascii="仿宋" w:eastAsia="仿宋" w:hAnsi="仿宋" w:hint="eastAsia"/>
        </w:rPr>
        <w:t>其他第三</w:t>
      </w:r>
      <w:proofErr w:type="gramEnd"/>
      <w:r>
        <w:rPr>
          <w:rFonts w:ascii="仿宋" w:eastAsia="仿宋" w:hAnsi="仿宋" w:hint="eastAsia"/>
        </w:rPr>
        <w:t>方机构。</w:t>
      </w:r>
    </w:p>
  </w:footnote>
  <w:footnote w:id="72">
    <w:p w14:paraId="1F6B3B48"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视情况约定具体计算公式。</w:t>
      </w:r>
    </w:p>
  </w:footnote>
  <w:footnote w:id="73">
    <w:p w14:paraId="6FCE028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w:t>
      </w:r>
      <w:proofErr w:type="gramStart"/>
      <w:r>
        <w:rPr>
          <w:rFonts w:ascii="仿宋" w:eastAsia="仿宋" w:hAnsi="仿宋" w:hint="eastAsia"/>
        </w:rPr>
        <w:t>最终比例</w:t>
      </w:r>
      <w:proofErr w:type="gramEnd"/>
      <w:r>
        <w:rPr>
          <w:rFonts w:ascii="仿宋" w:eastAsia="仿宋" w:hAnsi="仿宋" w:hint="eastAsia"/>
        </w:rPr>
        <w:t>的确定方式，可以参考《基本术语与适用规则》相关内容，也可约定为固定比例等。</w:t>
      </w:r>
    </w:p>
  </w:footnote>
  <w:footnote w:id="74">
    <w:p w14:paraId="4D432EC3"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视情况约定具体情形，如提前终止、信用事件触发以及对本期凭证持有人具有重大不利影响的事项等。</w:t>
      </w:r>
    </w:p>
  </w:footnote>
  <w:footnote w:id="75">
    <w:p w14:paraId="2565BA4B"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可约定具体期限或修改为在实际可行的最短期限内。</w:t>
      </w:r>
    </w:p>
  </w:footnote>
  <w:footnote w:id="76">
    <w:p w14:paraId="4AA8A5B7"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视情况可约定其他情形。</w:t>
      </w:r>
    </w:p>
  </w:footnote>
  <w:footnote w:id="77">
    <w:p w14:paraId="42EA287C"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持有人会议可以采用现场、非现场或两者相结合的形式。</w:t>
      </w:r>
    </w:p>
  </w:footnote>
  <w:footnote w:id="78">
    <w:p w14:paraId="2C1FF012" w14:textId="77777777" w:rsidR="00D25E16" w:rsidRDefault="00D74D86">
      <w:pPr>
        <w:pStyle w:val="ab"/>
        <w:spacing w:line="240" w:lineRule="auto"/>
        <w:ind w:firstLine="360"/>
        <w:jc w:val="both"/>
        <w:rPr>
          <w:rFonts w:ascii="仿宋" w:eastAsia="仿宋" w:hAnsi="仿宋" w:hint="eastAsia"/>
        </w:rPr>
      </w:pPr>
      <w:r>
        <w:rPr>
          <w:rStyle w:val="af3"/>
          <w:rFonts w:ascii="仿宋" w:eastAsia="仿宋" w:hAnsi="仿宋"/>
        </w:rPr>
        <w:footnoteRef/>
      </w:r>
      <w:r>
        <w:rPr>
          <w:rFonts w:ascii="仿宋" w:eastAsia="仿宋" w:hAnsi="仿宋" w:hint="eastAsia"/>
        </w:rPr>
        <w:t>参会人员应出具参会回执、授权委托书、身份证明及持有份额登记日凭证账务资料，在授权范围内参加凭证持有人会议并履行受托义务。</w:t>
      </w:r>
    </w:p>
  </w:footnote>
  <w:footnote w:id="79">
    <w:p w14:paraId="60499FE7"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proofErr w:type="gramStart"/>
      <w:r>
        <w:rPr>
          <w:rFonts w:ascii="仿宋" w:eastAsia="仿宋" w:hAnsi="仿宋" w:hint="eastAsia"/>
        </w:rPr>
        <w:t>非交易</w:t>
      </w:r>
      <w:proofErr w:type="gramEnd"/>
      <w:r>
        <w:rPr>
          <w:rFonts w:ascii="仿宋" w:eastAsia="仿宋" w:hAnsi="仿宋" w:hint="eastAsia"/>
        </w:rPr>
        <w:t>商协会会员单位的律师事务所的律师见证凭证持有人会议并出具法律意见的，该律师事务所应在法律意见书中声明接受交易商协会自律管理，遵守交易商协会的相关自律规则。</w:t>
      </w:r>
    </w:p>
  </w:footnote>
  <w:footnote w:id="80">
    <w:p w14:paraId="0388580F"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视情况约定具体比例，比例不应低于50%。</w:t>
      </w:r>
    </w:p>
  </w:footnote>
  <w:footnote w:id="81">
    <w:p w14:paraId="20A6E396" w14:textId="77777777" w:rsidR="00D25E16" w:rsidRDefault="00D74D86">
      <w:pPr>
        <w:pStyle w:val="ab"/>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不得超过3个营业日。</w:t>
      </w:r>
    </w:p>
  </w:footnote>
  <w:footnote w:id="82">
    <w:p w14:paraId="3D75A47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视情况约定具体比例，比例不应低于2/3。</w:t>
      </w:r>
    </w:p>
  </w:footnote>
  <w:footnote w:id="83">
    <w:p w14:paraId="653270AB"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视情况约定具体比例，比例不应低于50%。</w:t>
      </w:r>
    </w:p>
  </w:footnote>
  <w:footnote w:id="84">
    <w:p w14:paraId="5B19465B"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创设机构</w:t>
      </w:r>
      <w:r>
        <w:rPr>
          <w:rFonts w:ascii="仿宋" w:eastAsia="仿宋" w:hAnsi="仿宋"/>
        </w:rPr>
        <w:t>视情况决定是否披露其</w:t>
      </w:r>
      <w:r>
        <w:rPr>
          <w:rFonts w:ascii="仿宋" w:eastAsia="仿宋" w:hAnsi="仿宋" w:hint="eastAsia"/>
        </w:rPr>
        <w:t>主体信用评级报告及跟踪主体信用评级报告。如选择不披露，应删除相关条款。</w:t>
      </w:r>
    </w:p>
  </w:footnote>
  <w:footnote w:id="85">
    <w:p w14:paraId="73AD0306"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若为定向创设，应调整本段内容。</w:t>
      </w:r>
    </w:p>
  </w:footnote>
  <w:footnote w:id="86">
    <w:p w14:paraId="4F59E195"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为支持债券发行、与参考债务联动创设的，应补充如下承诺“承诺以不少于本期凭证预配售名义本金金额申购本期凭证参考债务。”</w:t>
      </w:r>
    </w:p>
  </w:footnote>
  <w:footnote w:id="87">
    <w:p w14:paraId="462FFA41"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为支持债券发行、与参考债务联动创设的，通知名称应调整为“【本期凭证全称】预配售结果通知”，“配售”调整为“预配售”，并补充如下表述“请贵单位按照申购要约中的承诺，以不少于本期凭证预配售名义本金金额申购【参考债务全称】。”</w:t>
      </w:r>
    </w:p>
  </w:footnote>
  <w:footnote w:id="88">
    <w:p w14:paraId="39A06362" w14:textId="77777777" w:rsidR="00D25E16" w:rsidRDefault="00D74D86">
      <w:pPr>
        <w:pStyle w:val="ab"/>
        <w:widowControl/>
        <w:spacing w:line="240" w:lineRule="auto"/>
        <w:ind w:firstLine="360"/>
        <w:rPr>
          <w:rFonts w:ascii="仿宋" w:eastAsia="仿宋" w:hAnsi="仿宋" w:hint="eastAsia"/>
        </w:rPr>
      </w:pPr>
      <w:r>
        <w:rPr>
          <w:rStyle w:val="af3"/>
          <w:rFonts w:ascii="仿宋" w:eastAsia="仿宋" w:hAnsi="仿宋"/>
        </w:rPr>
        <w:footnoteRef/>
      </w:r>
      <w:r>
        <w:rPr>
          <w:rFonts w:ascii="仿宋" w:eastAsia="仿宋" w:hAnsi="仿宋" w:hint="eastAsia"/>
        </w:rPr>
        <w:t xml:space="preserve"> 为支持债券发行、与参考债务联动创设的，应进行预配售公告。如不适用，应删除。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0114" w14:textId="77777777" w:rsidR="00D25E16" w:rsidRDefault="00D25E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953C" w14:textId="77777777" w:rsidR="00D25E16" w:rsidRDefault="00D25E16">
    <w:pPr>
      <w:ind w:left="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A92D" w14:textId="77777777" w:rsidR="00D25E16" w:rsidRDefault="00D25E1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BF1D9"/>
    <w:multiLevelType w:val="multilevel"/>
    <w:tmpl w:val="FDFBF1D9"/>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FEBD03E1"/>
    <w:multiLevelType w:val="singleLevel"/>
    <w:tmpl w:val="FEBD03E1"/>
    <w:lvl w:ilvl="0">
      <w:start w:val="1"/>
      <w:numFmt w:val="decimal"/>
      <w:lvlText w:val="%1."/>
      <w:lvlJc w:val="left"/>
      <w:pPr>
        <w:tabs>
          <w:tab w:val="left" w:pos="425"/>
        </w:tabs>
        <w:ind w:left="425" w:hanging="425"/>
      </w:pPr>
      <w:rPr>
        <w:rFonts w:hint="default"/>
      </w:rPr>
    </w:lvl>
  </w:abstractNum>
  <w:abstractNum w:abstractNumId="2" w15:restartNumberingAfterBreak="0">
    <w:nsid w:val="FFFF11F9"/>
    <w:multiLevelType w:val="singleLevel"/>
    <w:tmpl w:val="FFFF11F9"/>
    <w:lvl w:ilvl="0">
      <w:start w:val="1"/>
      <w:numFmt w:val="decimal"/>
      <w:lvlText w:val="%1."/>
      <w:lvlJc w:val="left"/>
      <w:pPr>
        <w:tabs>
          <w:tab w:val="left" w:pos="425"/>
        </w:tabs>
        <w:ind w:left="425" w:hanging="425"/>
      </w:pPr>
      <w:rPr>
        <w:rFonts w:hint="default"/>
      </w:rPr>
    </w:lvl>
  </w:abstractNum>
  <w:abstractNum w:abstractNumId="3" w15:restartNumberingAfterBreak="0">
    <w:nsid w:val="0D675674"/>
    <w:multiLevelType w:val="multilevel"/>
    <w:tmpl w:val="0D675674"/>
    <w:lvl w:ilvl="0">
      <w:start w:val="1"/>
      <w:numFmt w:val="japaneseCounting"/>
      <w:lvlText w:val="第%1章"/>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22C2568"/>
    <w:multiLevelType w:val="multilevel"/>
    <w:tmpl w:val="222C2568"/>
    <w:lvl w:ilvl="0">
      <w:start w:val="1"/>
      <w:numFmt w:val="decimal"/>
      <w:suff w:val="space"/>
      <w:lvlText w:val="%1、"/>
      <w:lvlJc w:val="left"/>
      <w:pPr>
        <w:ind w:left="680" w:hanging="680"/>
      </w:pPr>
      <w:rPr>
        <w:rFonts w:hint="default"/>
        <w:b w:val="0"/>
        <w:sz w:val="32"/>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432CAA"/>
    <w:multiLevelType w:val="multilevel"/>
    <w:tmpl w:val="34432CAA"/>
    <w:lvl w:ilvl="0">
      <w:start w:val="1"/>
      <w:numFmt w:val="decimal"/>
      <w:suff w:val="space"/>
      <w:lvlText w:val="%1、"/>
      <w:lvlJc w:val="left"/>
      <w:pPr>
        <w:ind w:left="680" w:hanging="680"/>
      </w:pPr>
      <w:rPr>
        <w:rFonts w:hint="default"/>
        <w:b w:val="0"/>
        <w:sz w:val="32"/>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9284357"/>
    <w:multiLevelType w:val="multilevel"/>
    <w:tmpl w:val="49284357"/>
    <w:lvl w:ilvl="0">
      <w:start w:val="1"/>
      <w:numFmt w:val="decimal"/>
      <w:suff w:val="space"/>
      <w:lvlText w:val="%1、"/>
      <w:lvlJc w:val="left"/>
      <w:pPr>
        <w:ind w:left="1389" w:hanging="680"/>
      </w:pPr>
      <w:rPr>
        <w:rFonts w:hint="default"/>
      </w:rPr>
    </w:lvl>
    <w:lvl w:ilvl="1">
      <w:start w:val="1"/>
      <w:numFmt w:val="lowerLetter"/>
      <w:lvlText w:val="%2)"/>
      <w:lvlJc w:val="left"/>
      <w:pPr>
        <w:ind w:left="2029" w:hanging="420"/>
      </w:pPr>
    </w:lvl>
    <w:lvl w:ilvl="2">
      <w:start w:val="1"/>
      <w:numFmt w:val="lowerRoman"/>
      <w:lvlText w:val="%3."/>
      <w:lvlJc w:val="right"/>
      <w:pPr>
        <w:ind w:left="2449" w:hanging="420"/>
      </w:pPr>
    </w:lvl>
    <w:lvl w:ilvl="3">
      <w:start w:val="1"/>
      <w:numFmt w:val="decimal"/>
      <w:lvlText w:val="%4."/>
      <w:lvlJc w:val="left"/>
      <w:pPr>
        <w:ind w:left="2869" w:hanging="420"/>
      </w:pPr>
    </w:lvl>
    <w:lvl w:ilvl="4">
      <w:start w:val="1"/>
      <w:numFmt w:val="lowerLetter"/>
      <w:lvlText w:val="%5)"/>
      <w:lvlJc w:val="left"/>
      <w:pPr>
        <w:ind w:left="3289" w:hanging="420"/>
      </w:pPr>
    </w:lvl>
    <w:lvl w:ilvl="5">
      <w:start w:val="1"/>
      <w:numFmt w:val="lowerRoman"/>
      <w:lvlText w:val="%6."/>
      <w:lvlJc w:val="right"/>
      <w:pPr>
        <w:ind w:left="3709" w:hanging="420"/>
      </w:pPr>
    </w:lvl>
    <w:lvl w:ilvl="6">
      <w:start w:val="1"/>
      <w:numFmt w:val="decimal"/>
      <w:lvlText w:val="%7."/>
      <w:lvlJc w:val="left"/>
      <w:pPr>
        <w:ind w:left="4129" w:hanging="420"/>
      </w:pPr>
    </w:lvl>
    <w:lvl w:ilvl="7">
      <w:start w:val="1"/>
      <w:numFmt w:val="lowerLetter"/>
      <w:lvlText w:val="%8)"/>
      <w:lvlJc w:val="left"/>
      <w:pPr>
        <w:ind w:left="4549" w:hanging="420"/>
      </w:pPr>
    </w:lvl>
    <w:lvl w:ilvl="8">
      <w:start w:val="1"/>
      <w:numFmt w:val="lowerRoman"/>
      <w:lvlText w:val="%9."/>
      <w:lvlJc w:val="right"/>
      <w:pPr>
        <w:ind w:left="4969" w:hanging="420"/>
      </w:pPr>
    </w:lvl>
  </w:abstractNum>
  <w:abstractNum w:abstractNumId="7" w15:restartNumberingAfterBreak="0">
    <w:nsid w:val="719D5786"/>
    <w:multiLevelType w:val="multilevel"/>
    <w:tmpl w:val="719D5786"/>
    <w:lvl w:ilvl="0">
      <w:start w:val="1"/>
      <w:numFmt w:val="decimal"/>
      <w:suff w:val="space"/>
      <w:lvlText w:val="%1、"/>
      <w:lvlJc w:val="left"/>
      <w:pPr>
        <w:ind w:left="680" w:hanging="680"/>
      </w:pPr>
      <w:rPr>
        <w:rFonts w:hint="default"/>
        <w:b w:val="0"/>
        <w:sz w:val="32"/>
        <w:szCs w:val="24"/>
      </w:rPr>
    </w:lvl>
    <w:lvl w:ilvl="1">
      <w:start w:val="2"/>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74874533">
    <w:abstractNumId w:val="3"/>
  </w:num>
  <w:num w:numId="2" w16cid:durableId="1963346246">
    <w:abstractNumId w:val="7"/>
  </w:num>
  <w:num w:numId="3" w16cid:durableId="300817302">
    <w:abstractNumId w:val="1"/>
  </w:num>
  <w:num w:numId="4" w16cid:durableId="707683854">
    <w:abstractNumId w:val="4"/>
  </w:num>
  <w:num w:numId="5" w16cid:durableId="1579484562">
    <w:abstractNumId w:val="6"/>
  </w:num>
  <w:num w:numId="6" w16cid:durableId="1992829601">
    <w:abstractNumId w:val="0"/>
  </w:num>
  <w:num w:numId="7" w16cid:durableId="1515222417">
    <w:abstractNumId w:val="5"/>
  </w:num>
  <w:num w:numId="8" w16cid:durableId="206406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4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D41D9"/>
    <w:rsid w:val="8FF7F034"/>
    <w:rsid w:val="91FF7FE4"/>
    <w:rsid w:val="9F973A4C"/>
    <w:rsid w:val="ABFC4E6B"/>
    <w:rsid w:val="ADDF21EF"/>
    <w:rsid w:val="AFFE5CCD"/>
    <w:rsid w:val="B3F78989"/>
    <w:rsid w:val="B97DA27A"/>
    <w:rsid w:val="DA5FA3DA"/>
    <w:rsid w:val="DEEFD54C"/>
    <w:rsid w:val="E3FF8487"/>
    <w:rsid w:val="E77EAC00"/>
    <w:rsid w:val="E97799C3"/>
    <w:rsid w:val="EADE7F2F"/>
    <w:rsid w:val="EBFF66D5"/>
    <w:rsid w:val="EF7FF515"/>
    <w:rsid w:val="EFDC5195"/>
    <w:rsid w:val="F3AAF692"/>
    <w:rsid w:val="F7F5D38E"/>
    <w:rsid w:val="FAF7D0D4"/>
    <w:rsid w:val="FAFF9D0F"/>
    <w:rsid w:val="FBEF2592"/>
    <w:rsid w:val="FC4F87AE"/>
    <w:rsid w:val="FE6D1C8D"/>
    <w:rsid w:val="FE9B1394"/>
    <w:rsid w:val="FF11659E"/>
    <w:rsid w:val="FF533063"/>
    <w:rsid w:val="FF7BCA70"/>
    <w:rsid w:val="FF7D23E0"/>
    <w:rsid w:val="FFB4F503"/>
    <w:rsid w:val="FFF6FFAD"/>
    <w:rsid w:val="0000147D"/>
    <w:rsid w:val="00005BD2"/>
    <w:rsid w:val="0001024C"/>
    <w:rsid w:val="00013E2F"/>
    <w:rsid w:val="000219AB"/>
    <w:rsid w:val="000227A6"/>
    <w:rsid w:val="0002506D"/>
    <w:rsid w:val="000315B5"/>
    <w:rsid w:val="0003185F"/>
    <w:rsid w:val="00032F2E"/>
    <w:rsid w:val="00033DDF"/>
    <w:rsid w:val="000350E3"/>
    <w:rsid w:val="00051BDB"/>
    <w:rsid w:val="00055000"/>
    <w:rsid w:val="00055BFC"/>
    <w:rsid w:val="000564EA"/>
    <w:rsid w:val="00056602"/>
    <w:rsid w:val="00063E26"/>
    <w:rsid w:val="000661C7"/>
    <w:rsid w:val="00066B5E"/>
    <w:rsid w:val="00072218"/>
    <w:rsid w:val="00072E2F"/>
    <w:rsid w:val="000816B0"/>
    <w:rsid w:val="00086244"/>
    <w:rsid w:val="0009033E"/>
    <w:rsid w:val="000913A1"/>
    <w:rsid w:val="000952F6"/>
    <w:rsid w:val="00097CC6"/>
    <w:rsid w:val="000A42C6"/>
    <w:rsid w:val="000B4EE4"/>
    <w:rsid w:val="000B66AC"/>
    <w:rsid w:val="000B7EE6"/>
    <w:rsid w:val="000C03A7"/>
    <w:rsid w:val="000C124D"/>
    <w:rsid w:val="000C4370"/>
    <w:rsid w:val="000D1F84"/>
    <w:rsid w:val="000D597E"/>
    <w:rsid w:val="000D6CFA"/>
    <w:rsid w:val="000E2B6C"/>
    <w:rsid w:val="000F60DB"/>
    <w:rsid w:val="00101785"/>
    <w:rsid w:val="00103DA3"/>
    <w:rsid w:val="00107C30"/>
    <w:rsid w:val="00111AF1"/>
    <w:rsid w:val="001319A9"/>
    <w:rsid w:val="00145B87"/>
    <w:rsid w:val="00146642"/>
    <w:rsid w:val="00150E93"/>
    <w:rsid w:val="001524E7"/>
    <w:rsid w:val="00153055"/>
    <w:rsid w:val="001565BD"/>
    <w:rsid w:val="001577B6"/>
    <w:rsid w:val="001616A3"/>
    <w:rsid w:val="00164BD2"/>
    <w:rsid w:val="00164F16"/>
    <w:rsid w:val="00167B56"/>
    <w:rsid w:val="00174799"/>
    <w:rsid w:val="0017550D"/>
    <w:rsid w:val="00176CB8"/>
    <w:rsid w:val="00186AC6"/>
    <w:rsid w:val="00190CE0"/>
    <w:rsid w:val="001912AC"/>
    <w:rsid w:val="001953D5"/>
    <w:rsid w:val="00196AB5"/>
    <w:rsid w:val="001A04C8"/>
    <w:rsid w:val="001A136E"/>
    <w:rsid w:val="001B277E"/>
    <w:rsid w:val="001B39C4"/>
    <w:rsid w:val="001B6A1D"/>
    <w:rsid w:val="001B7D24"/>
    <w:rsid w:val="001C1844"/>
    <w:rsid w:val="001D07CC"/>
    <w:rsid w:val="001E1A64"/>
    <w:rsid w:val="001F333D"/>
    <w:rsid w:val="001F51B1"/>
    <w:rsid w:val="001F7AA1"/>
    <w:rsid w:val="00200B1C"/>
    <w:rsid w:val="002064D1"/>
    <w:rsid w:val="002115F5"/>
    <w:rsid w:val="00211BE3"/>
    <w:rsid w:val="002146A0"/>
    <w:rsid w:val="0021531F"/>
    <w:rsid w:val="0021570F"/>
    <w:rsid w:val="0021689B"/>
    <w:rsid w:val="00225A61"/>
    <w:rsid w:val="002378E8"/>
    <w:rsid w:val="00245FD2"/>
    <w:rsid w:val="0024653E"/>
    <w:rsid w:val="00246C38"/>
    <w:rsid w:val="00247C16"/>
    <w:rsid w:val="00251389"/>
    <w:rsid w:val="00254238"/>
    <w:rsid w:val="00256B3B"/>
    <w:rsid w:val="002654BD"/>
    <w:rsid w:val="0026560B"/>
    <w:rsid w:val="00265B1C"/>
    <w:rsid w:val="00265B6D"/>
    <w:rsid w:val="00265B9F"/>
    <w:rsid w:val="002700FA"/>
    <w:rsid w:val="00270A6F"/>
    <w:rsid w:val="002714E0"/>
    <w:rsid w:val="002768E9"/>
    <w:rsid w:val="00281995"/>
    <w:rsid w:val="00282E2C"/>
    <w:rsid w:val="00283E38"/>
    <w:rsid w:val="00296B51"/>
    <w:rsid w:val="002A283B"/>
    <w:rsid w:val="002A331D"/>
    <w:rsid w:val="002A6C39"/>
    <w:rsid w:val="002B0CF0"/>
    <w:rsid w:val="002B3448"/>
    <w:rsid w:val="002B3BA7"/>
    <w:rsid w:val="002C1687"/>
    <w:rsid w:val="002D03C4"/>
    <w:rsid w:val="002E4796"/>
    <w:rsid w:val="002F3E1A"/>
    <w:rsid w:val="002F58BF"/>
    <w:rsid w:val="003029CB"/>
    <w:rsid w:val="003107FE"/>
    <w:rsid w:val="00311138"/>
    <w:rsid w:val="00311B19"/>
    <w:rsid w:val="00313431"/>
    <w:rsid w:val="00314032"/>
    <w:rsid w:val="00314735"/>
    <w:rsid w:val="0031633C"/>
    <w:rsid w:val="00323EB8"/>
    <w:rsid w:val="0032537A"/>
    <w:rsid w:val="00330B65"/>
    <w:rsid w:val="00335AB1"/>
    <w:rsid w:val="0034248E"/>
    <w:rsid w:val="003444C6"/>
    <w:rsid w:val="003476DD"/>
    <w:rsid w:val="0035140A"/>
    <w:rsid w:val="00354036"/>
    <w:rsid w:val="00357C6B"/>
    <w:rsid w:val="00361170"/>
    <w:rsid w:val="00363A03"/>
    <w:rsid w:val="00366CEA"/>
    <w:rsid w:val="00370691"/>
    <w:rsid w:val="0037328C"/>
    <w:rsid w:val="003856E8"/>
    <w:rsid w:val="00385C9C"/>
    <w:rsid w:val="00391018"/>
    <w:rsid w:val="00392BDB"/>
    <w:rsid w:val="00394FE5"/>
    <w:rsid w:val="003A2D34"/>
    <w:rsid w:val="003A5B33"/>
    <w:rsid w:val="003B6A3E"/>
    <w:rsid w:val="003C3410"/>
    <w:rsid w:val="003C3BDE"/>
    <w:rsid w:val="003D1F51"/>
    <w:rsid w:val="003D1F83"/>
    <w:rsid w:val="003D6EF3"/>
    <w:rsid w:val="003E073F"/>
    <w:rsid w:val="003E2D4C"/>
    <w:rsid w:val="003F2F68"/>
    <w:rsid w:val="004003D7"/>
    <w:rsid w:val="00404D87"/>
    <w:rsid w:val="004077B2"/>
    <w:rsid w:val="0040783A"/>
    <w:rsid w:val="004078F8"/>
    <w:rsid w:val="00407B60"/>
    <w:rsid w:val="00412017"/>
    <w:rsid w:val="00424F53"/>
    <w:rsid w:val="00426FF2"/>
    <w:rsid w:val="0043474E"/>
    <w:rsid w:val="00435AC2"/>
    <w:rsid w:val="00435F0E"/>
    <w:rsid w:val="00436D56"/>
    <w:rsid w:val="00440BBC"/>
    <w:rsid w:val="004424E1"/>
    <w:rsid w:val="00443756"/>
    <w:rsid w:val="00444C7D"/>
    <w:rsid w:val="00445371"/>
    <w:rsid w:val="0044558A"/>
    <w:rsid w:val="004522D4"/>
    <w:rsid w:val="00453BE7"/>
    <w:rsid w:val="004540EF"/>
    <w:rsid w:val="004541C0"/>
    <w:rsid w:val="00460724"/>
    <w:rsid w:val="0047265C"/>
    <w:rsid w:val="00485E8C"/>
    <w:rsid w:val="004900BB"/>
    <w:rsid w:val="00494CD6"/>
    <w:rsid w:val="004962F3"/>
    <w:rsid w:val="004978F1"/>
    <w:rsid w:val="004A0A82"/>
    <w:rsid w:val="004A0D60"/>
    <w:rsid w:val="004A4728"/>
    <w:rsid w:val="004A6C10"/>
    <w:rsid w:val="004A6C58"/>
    <w:rsid w:val="004B3F67"/>
    <w:rsid w:val="004B6E62"/>
    <w:rsid w:val="004C07E5"/>
    <w:rsid w:val="004C336D"/>
    <w:rsid w:val="004C58AB"/>
    <w:rsid w:val="004C7B4B"/>
    <w:rsid w:val="004D4098"/>
    <w:rsid w:val="004D411B"/>
    <w:rsid w:val="004D64F7"/>
    <w:rsid w:val="004E25D3"/>
    <w:rsid w:val="004E4956"/>
    <w:rsid w:val="004E55D9"/>
    <w:rsid w:val="004E6423"/>
    <w:rsid w:val="004E65AE"/>
    <w:rsid w:val="004F0ECE"/>
    <w:rsid w:val="004F2B71"/>
    <w:rsid w:val="004F5292"/>
    <w:rsid w:val="00501925"/>
    <w:rsid w:val="005034B5"/>
    <w:rsid w:val="0050542C"/>
    <w:rsid w:val="00512327"/>
    <w:rsid w:val="0051603A"/>
    <w:rsid w:val="00521268"/>
    <w:rsid w:val="00524243"/>
    <w:rsid w:val="00527166"/>
    <w:rsid w:val="00531185"/>
    <w:rsid w:val="005334E2"/>
    <w:rsid w:val="00535E4A"/>
    <w:rsid w:val="00540368"/>
    <w:rsid w:val="00541DA5"/>
    <w:rsid w:val="00542083"/>
    <w:rsid w:val="0054752B"/>
    <w:rsid w:val="0055332E"/>
    <w:rsid w:val="0055651C"/>
    <w:rsid w:val="00557883"/>
    <w:rsid w:val="00557EC7"/>
    <w:rsid w:val="00560ACD"/>
    <w:rsid w:val="0056429F"/>
    <w:rsid w:val="0056481C"/>
    <w:rsid w:val="005648BD"/>
    <w:rsid w:val="00571B65"/>
    <w:rsid w:val="00584D00"/>
    <w:rsid w:val="0059020C"/>
    <w:rsid w:val="00590DF8"/>
    <w:rsid w:val="005929A6"/>
    <w:rsid w:val="005A357C"/>
    <w:rsid w:val="005A564C"/>
    <w:rsid w:val="005A6D72"/>
    <w:rsid w:val="005B25BB"/>
    <w:rsid w:val="005B2BC1"/>
    <w:rsid w:val="005C1951"/>
    <w:rsid w:val="005C1C00"/>
    <w:rsid w:val="005C2B74"/>
    <w:rsid w:val="005D19E3"/>
    <w:rsid w:val="005D44C4"/>
    <w:rsid w:val="005D4F4C"/>
    <w:rsid w:val="005E115F"/>
    <w:rsid w:val="005E13C6"/>
    <w:rsid w:val="005E3EA8"/>
    <w:rsid w:val="005F3056"/>
    <w:rsid w:val="00604168"/>
    <w:rsid w:val="00605ACC"/>
    <w:rsid w:val="0060603C"/>
    <w:rsid w:val="0061147B"/>
    <w:rsid w:val="00612DBA"/>
    <w:rsid w:val="00613C9E"/>
    <w:rsid w:val="00613F65"/>
    <w:rsid w:val="0061756E"/>
    <w:rsid w:val="00617D78"/>
    <w:rsid w:val="006230A4"/>
    <w:rsid w:val="006249EE"/>
    <w:rsid w:val="00624EDA"/>
    <w:rsid w:val="0062569F"/>
    <w:rsid w:val="006312C5"/>
    <w:rsid w:val="0063255D"/>
    <w:rsid w:val="00633A90"/>
    <w:rsid w:val="0063410B"/>
    <w:rsid w:val="006347BE"/>
    <w:rsid w:val="00636CF8"/>
    <w:rsid w:val="00642203"/>
    <w:rsid w:val="006432A8"/>
    <w:rsid w:val="006436C4"/>
    <w:rsid w:val="00645875"/>
    <w:rsid w:val="006467B4"/>
    <w:rsid w:val="0064744F"/>
    <w:rsid w:val="00647F3E"/>
    <w:rsid w:val="006552D9"/>
    <w:rsid w:val="006561EE"/>
    <w:rsid w:val="00656EBC"/>
    <w:rsid w:val="00666AAE"/>
    <w:rsid w:val="006673CB"/>
    <w:rsid w:val="006679A4"/>
    <w:rsid w:val="00675125"/>
    <w:rsid w:val="00683BEF"/>
    <w:rsid w:val="00690E68"/>
    <w:rsid w:val="00692F34"/>
    <w:rsid w:val="006931C0"/>
    <w:rsid w:val="0069329D"/>
    <w:rsid w:val="00694FC1"/>
    <w:rsid w:val="006A3B52"/>
    <w:rsid w:val="006A428C"/>
    <w:rsid w:val="006B0B8A"/>
    <w:rsid w:val="006B48F5"/>
    <w:rsid w:val="006B4CE2"/>
    <w:rsid w:val="006B5E92"/>
    <w:rsid w:val="006B7B5A"/>
    <w:rsid w:val="006C0C8B"/>
    <w:rsid w:val="006C4207"/>
    <w:rsid w:val="006C7AC9"/>
    <w:rsid w:val="006D5173"/>
    <w:rsid w:val="006E608F"/>
    <w:rsid w:val="00700BC0"/>
    <w:rsid w:val="0070228D"/>
    <w:rsid w:val="0070266B"/>
    <w:rsid w:val="0070435B"/>
    <w:rsid w:val="00704706"/>
    <w:rsid w:val="007056B8"/>
    <w:rsid w:val="007060C9"/>
    <w:rsid w:val="00715374"/>
    <w:rsid w:val="00721F05"/>
    <w:rsid w:val="007231B5"/>
    <w:rsid w:val="00726FDC"/>
    <w:rsid w:val="00727117"/>
    <w:rsid w:val="0073032F"/>
    <w:rsid w:val="007330A5"/>
    <w:rsid w:val="00737062"/>
    <w:rsid w:val="00754AB5"/>
    <w:rsid w:val="00757E92"/>
    <w:rsid w:val="00761D1B"/>
    <w:rsid w:val="007649F2"/>
    <w:rsid w:val="00767162"/>
    <w:rsid w:val="00772933"/>
    <w:rsid w:val="007768C3"/>
    <w:rsid w:val="00777DA4"/>
    <w:rsid w:val="007809A7"/>
    <w:rsid w:val="00780B04"/>
    <w:rsid w:val="00782BE2"/>
    <w:rsid w:val="007843E9"/>
    <w:rsid w:val="00786D08"/>
    <w:rsid w:val="007872D2"/>
    <w:rsid w:val="00791D58"/>
    <w:rsid w:val="007923CE"/>
    <w:rsid w:val="007941AB"/>
    <w:rsid w:val="00795B45"/>
    <w:rsid w:val="007A1BE2"/>
    <w:rsid w:val="007A47E0"/>
    <w:rsid w:val="007A6BD2"/>
    <w:rsid w:val="007B4618"/>
    <w:rsid w:val="007B62FD"/>
    <w:rsid w:val="007C00FD"/>
    <w:rsid w:val="007C1163"/>
    <w:rsid w:val="007C5F41"/>
    <w:rsid w:val="007C7A3D"/>
    <w:rsid w:val="007D57F7"/>
    <w:rsid w:val="007D73AB"/>
    <w:rsid w:val="007E2CA8"/>
    <w:rsid w:val="007E62C7"/>
    <w:rsid w:val="007F1050"/>
    <w:rsid w:val="007F5B14"/>
    <w:rsid w:val="008017E1"/>
    <w:rsid w:val="008049BB"/>
    <w:rsid w:val="00805AD6"/>
    <w:rsid w:val="00806165"/>
    <w:rsid w:val="00806720"/>
    <w:rsid w:val="00807AE6"/>
    <w:rsid w:val="00807FA2"/>
    <w:rsid w:val="00814981"/>
    <w:rsid w:val="00815017"/>
    <w:rsid w:val="00826118"/>
    <w:rsid w:val="00826583"/>
    <w:rsid w:val="008340A0"/>
    <w:rsid w:val="00836F3E"/>
    <w:rsid w:val="008405FC"/>
    <w:rsid w:val="00841B8F"/>
    <w:rsid w:val="00843250"/>
    <w:rsid w:val="008446BE"/>
    <w:rsid w:val="00850033"/>
    <w:rsid w:val="00850255"/>
    <w:rsid w:val="008505F4"/>
    <w:rsid w:val="00851A9A"/>
    <w:rsid w:val="00853036"/>
    <w:rsid w:val="00855951"/>
    <w:rsid w:val="008632BB"/>
    <w:rsid w:val="0086659C"/>
    <w:rsid w:val="00866AB7"/>
    <w:rsid w:val="008726FC"/>
    <w:rsid w:val="0087388E"/>
    <w:rsid w:val="00873B0E"/>
    <w:rsid w:val="00890769"/>
    <w:rsid w:val="008928FF"/>
    <w:rsid w:val="008970FA"/>
    <w:rsid w:val="00897EA8"/>
    <w:rsid w:val="008A10B0"/>
    <w:rsid w:val="008B0F1A"/>
    <w:rsid w:val="008B27C2"/>
    <w:rsid w:val="008B358B"/>
    <w:rsid w:val="008C13BA"/>
    <w:rsid w:val="008C17ED"/>
    <w:rsid w:val="008C449F"/>
    <w:rsid w:val="008D5378"/>
    <w:rsid w:val="008E000B"/>
    <w:rsid w:val="008E4AAF"/>
    <w:rsid w:val="008E5356"/>
    <w:rsid w:val="008E5435"/>
    <w:rsid w:val="008E548C"/>
    <w:rsid w:val="008E6EED"/>
    <w:rsid w:val="008F011D"/>
    <w:rsid w:val="008F337C"/>
    <w:rsid w:val="008F40A0"/>
    <w:rsid w:val="00901E3F"/>
    <w:rsid w:val="00902A36"/>
    <w:rsid w:val="0090423B"/>
    <w:rsid w:val="009059AC"/>
    <w:rsid w:val="009157B6"/>
    <w:rsid w:val="0091692D"/>
    <w:rsid w:val="00930329"/>
    <w:rsid w:val="00931543"/>
    <w:rsid w:val="00931CA2"/>
    <w:rsid w:val="0093303D"/>
    <w:rsid w:val="00933237"/>
    <w:rsid w:val="009334FA"/>
    <w:rsid w:val="00933ABF"/>
    <w:rsid w:val="00937318"/>
    <w:rsid w:val="009450BF"/>
    <w:rsid w:val="00945BF5"/>
    <w:rsid w:val="00951129"/>
    <w:rsid w:val="009611BA"/>
    <w:rsid w:val="009633FB"/>
    <w:rsid w:val="00965839"/>
    <w:rsid w:val="00965D1B"/>
    <w:rsid w:val="00967E7B"/>
    <w:rsid w:val="009701A7"/>
    <w:rsid w:val="00970440"/>
    <w:rsid w:val="00973775"/>
    <w:rsid w:val="00974689"/>
    <w:rsid w:val="00974F83"/>
    <w:rsid w:val="00976388"/>
    <w:rsid w:val="00984C0E"/>
    <w:rsid w:val="00985C33"/>
    <w:rsid w:val="0098606B"/>
    <w:rsid w:val="00986B56"/>
    <w:rsid w:val="009A4F89"/>
    <w:rsid w:val="009A50BD"/>
    <w:rsid w:val="009A640A"/>
    <w:rsid w:val="009B13B1"/>
    <w:rsid w:val="009C0F06"/>
    <w:rsid w:val="009C13F5"/>
    <w:rsid w:val="009C2CCA"/>
    <w:rsid w:val="009C3275"/>
    <w:rsid w:val="009C383C"/>
    <w:rsid w:val="009D295F"/>
    <w:rsid w:val="009D43FF"/>
    <w:rsid w:val="009D492B"/>
    <w:rsid w:val="009D61C9"/>
    <w:rsid w:val="009F0D48"/>
    <w:rsid w:val="009F158D"/>
    <w:rsid w:val="009F2721"/>
    <w:rsid w:val="009F41B1"/>
    <w:rsid w:val="009F4841"/>
    <w:rsid w:val="009F607D"/>
    <w:rsid w:val="009F71B3"/>
    <w:rsid w:val="00A1421D"/>
    <w:rsid w:val="00A14D31"/>
    <w:rsid w:val="00A1725C"/>
    <w:rsid w:val="00A17A79"/>
    <w:rsid w:val="00A22406"/>
    <w:rsid w:val="00A2757D"/>
    <w:rsid w:val="00A27A35"/>
    <w:rsid w:val="00A27FAE"/>
    <w:rsid w:val="00A3171F"/>
    <w:rsid w:val="00A46EE7"/>
    <w:rsid w:val="00A478CC"/>
    <w:rsid w:val="00A53DF4"/>
    <w:rsid w:val="00A5479C"/>
    <w:rsid w:val="00A60034"/>
    <w:rsid w:val="00A61D13"/>
    <w:rsid w:val="00A70DC4"/>
    <w:rsid w:val="00A77AE2"/>
    <w:rsid w:val="00A815FE"/>
    <w:rsid w:val="00A84A17"/>
    <w:rsid w:val="00A84D48"/>
    <w:rsid w:val="00A86122"/>
    <w:rsid w:val="00A90044"/>
    <w:rsid w:val="00A90D48"/>
    <w:rsid w:val="00A922D8"/>
    <w:rsid w:val="00A9318A"/>
    <w:rsid w:val="00A97B86"/>
    <w:rsid w:val="00AA0361"/>
    <w:rsid w:val="00AA25E2"/>
    <w:rsid w:val="00AA3FE6"/>
    <w:rsid w:val="00AA4842"/>
    <w:rsid w:val="00AB010E"/>
    <w:rsid w:val="00AB6B50"/>
    <w:rsid w:val="00AC0DE0"/>
    <w:rsid w:val="00AC1304"/>
    <w:rsid w:val="00AC5759"/>
    <w:rsid w:val="00AC583A"/>
    <w:rsid w:val="00AC650C"/>
    <w:rsid w:val="00AC68A4"/>
    <w:rsid w:val="00AD0A5A"/>
    <w:rsid w:val="00AE5970"/>
    <w:rsid w:val="00AF0FC8"/>
    <w:rsid w:val="00AF1D83"/>
    <w:rsid w:val="00AF3FAF"/>
    <w:rsid w:val="00AF4EA8"/>
    <w:rsid w:val="00B01E63"/>
    <w:rsid w:val="00B02608"/>
    <w:rsid w:val="00B03BCD"/>
    <w:rsid w:val="00B0657E"/>
    <w:rsid w:val="00B1166C"/>
    <w:rsid w:val="00B13F0A"/>
    <w:rsid w:val="00B150CE"/>
    <w:rsid w:val="00B323F7"/>
    <w:rsid w:val="00B32450"/>
    <w:rsid w:val="00B329E9"/>
    <w:rsid w:val="00B35AF4"/>
    <w:rsid w:val="00B36764"/>
    <w:rsid w:val="00B36C92"/>
    <w:rsid w:val="00B44D0C"/>
    <w:rsid w:val="00B46FDE"/>
    <w:rsid w:val="00B51E44"/>
    <w:rsid w:val="00B57C9F"/>
    <w:rsid w:val="00B67725"/>
    <w:rsid w:val="00B736D1"/>
    <w:rsid w:val="00B7660D"/>
    <w:rsid w:val="00B767D4"/>
    <w:rsid w:val="00B77EB0"/>
    <w:rsid w:val="00B81412"/>
    <w:rsid w:val="00B83023"/>
    <w:rsid w:val="00B83DCC"/>
    <w:rsid w:val="00B924B3"/>
    <w:rsid w:val="00B9341D"/>
    <w:rsid w:val="00B940FE"/>
    <w:rsid w:val="00B94915"/>
    <w:rsid w:val="00B94AC5"/>
    <w:rsid w:val="00BA1C75"/>
    <w:rsid w:val="00BB15C4"/>
    <w:rsid w:val="00BC29E3"/>
    <w:rsid w:val="00BD2F64"/>
    <w:rsid w:val="00BD41D9"/>
    <w:rsid w:val="00BE10AD"/>
    <w:rsid w:val="00BE7BB7"/>
    <w:rsid w:val="00BF5508"/>
    <w:rsid w:val="00C0395B"/>
    <w:rsid w:val="00C03F77"/>
    <w:rsid w:val="00C0414A"/>
    <w:rsid w:val="00C04E8F"/>
    <w:rsid w:val="00C07418"/>
    <w:rsid w:val="00C12E48"/>
    <w:rsid w:val="00C21C25"/>
    <w:rsid w:val="00C23706"/>
    <w:rsid w:val="00C27672"/>
    <w:rsid w:val="00C27734"/>
    <w:rsid w:val="00C27780"/>
    <w:rsid w:val="00C35F82"/>
    <w:rsid w:val="00C3630E"/>
    <w:rsid w:val="00C523FE"/>
    <w:rsid w:val="00C52F22"/>
    <w:rsid w:val="00C57D1E"/>
    <w:rsid w:val="00C6083B"/>
    <w:rsid w:val="00C61171"/>
    <w:rsid w:val="00C70338"/>
    <w:rsid w:val="00C72448"/>
    <w:rsid w:val="00C73AB4"/>
    <w:rsid w:val="00C81583"/>
    <w:rsid w:val="00C848BA"/>
    <w:rsid w:val="00C851AE"/>
    <w:rsid w:val="00C8698B"/>
    <w:rsid w:val="00C90689"/>
    <w:rsid w:val="00C91E03"/>
    <w:rsid w:val="00C9260A"/>
    <w:rsid w:val="00C95019"/>
    <w:rsid w:val="00C9766F"/>
    <w:rsid w:val="00CA0531"/>
    <w:rsid w:val="00CA0624"/>
    <w:rsid w:val="00CA5920"/>
    <w:rsid w:val="00CB3FE2"/>
    <w:rsid w:val="00CB472C"/>
    <w:rsid w:val="00CB6CE0"/>
    <w:rsid w:val="00CB77B9"/>
    <w:rsid w:val="00CB7EDE"/>
    <w:rsid w:val="00CC2CBE"/>
    <w:rsid w:val="00CD1BF9"/>
    <w:rsid w:val="00CD6400"/>
    <w:rsid w:val="00CD67F7"/>
    <w:rsid w:val="00CD70CD"/>
    <w:rsid w:val="00CE0B80"/>
    <w:rsid w:val="00CE10D2"/>
    <w:rsid w:val="00CE75AE"/>
    <w:rsid w:val="00CE7C5C"/>
    <w:rsid w:val="00D03262"/>
    <w:rsid w:val="00D04B56"/>
    <w:rsid w:val="00D16CA3"/>
    <w:rsid w:val="00D20E51"/>
    <w:rsid w:val="00D25E16"/>
    <w:rsid w:val="00D31CFA"/>
    <w:rsid w:val="00D3411B"/>
    <w:rsid w:val="00D34DA5"/>
    <w:rsid w:val="00D3666A"/>
    <w:rsid w:val="00D46DAE"/>
    <w:rsid w:val="00D626A7"/>
    <w:rsid w:val="00D62B91"/>
    <w:rsid w:val="00D65D8F"/>
    <w:rsid w:val="00D67236"/>
    <w:rsid w:val="00D74D86"/>
    <w:rsid w:val="00D77C89"/>
    <w:rsid w:val="00D91B54"/>
    <w:rsid w:val="00D91F30"/>
    <w:rsid w:val="00D92C97"/>
    <w:rsid w:val="00D95D83"/>
    <w:rsid w:val="00DA6E9D"/>
    <w:rsid w:val="00DB2CBC"/>
    <w:rsid w:val="00DB2F12"/>
    <w:rsid w:val="00DB70DE"/>
    <w:rsid w:val="00DC123E"/>
    <w:rsid w:val="00DC3B0B"/>
    <w:rsid w:val="00DC462A"/>
    <w:rsid w:val="00DC511E"/>
    <w:rsid w:val="00DD24D1"/>
    <w:rsid w:val="00DD6923"/>
    <w:rsid w:val="00DE05E0"/>
    <w:rsid w:val="00DE066A"/>
    <w:rsid w:val="00DE2F3D"/>
    <w:rsid w:val="00DE5E0E"/>
    <w:rsid w:val="00DF0AFE"/>
    <w:rsid w:val="00DF53B4"/>
    <w:rsid w:val="00E0147E"/>
    <w:rsid w:val="00E014A7"/>
    <w:rsid w:val="00E019AA"/>
    <w:rsid w:val="00E020F7"/>
    <w:rsid w:val="00E04728"/>
    <w:rsid w:val="00E0511F"/>
    <w:rsid w:val="00E0546C"/>
    <w:rsid w:val="00E07F71"/>
    <w:rsid w:val="00E167A5"/>
    <w:rsid w:val="00E21902"/>
    <w:rsid w:val="00E265D7"/>
    <w:rsid w:val="00E34AB3"/>
    <w:rsid w:val="00E35AA7"/>
    <w:rsid w:val="00E37672"/>
    <w:rsid w:val="00E42A37"/>
    <w:rsid w:val="00E45DBD"/>
    <w:rsid w:val="00E461B9"/>
    <w:rsid w:val="00E55DC2"/>
    <w:rsid w:val="00E61421"/>
    <w:rsid w:val="00E6190F"/>
    <w:rsid w:val="00E622C6"/>
    <w:rsid w:val="00E67D5C"/>
    <w:rsid w:val="00E70D94"/>
    <w:rsid w:val="00E73F46"/>
    <w:rsid w:val="00E74723"/>
    <w:rsid w:val="00E8179E"/>
    <w:rsid w:val="00E844CD"/>
    <w:rsid w:val="00E867CB"/>
    <w:rsid w:val="00E96827"/>
    <w:rsid w:val="00E97B71"/>
    <w:rsid w:val="00EA22B2"/>
    <w:rsid w:val="00EA4B58"/>
    <w:rsid w:val="00EB57EE"/>
    <w:rsid w:val="00EC5965"/>
    <w:rsid w:val="00EC610B"/>
    <w:rsid w:val="00EC722A"/>
    <w:rsid w:val="00ED2BC1"/>
    <w:rsid w:val="00ED4F14"/>
    <w:rsid w:val="00EE049B"/>
    <w:rsid w:val="00EE0F4A"/>
    <w:rsid w:val="00EF053F"/>
    <w:rsid w:val="00EF5D0D"/>
    <w:rsid w:val="00F1003D"/>
    <w:rsid w:val="00F137F7"/>
    <w:rsid w:val="00F203BF"/>
    <w:rsid w:val="00F2192A"/>
    <w:rsid w:val="00F27539"/>
    <w:rsid w:val="00F276F0"/>
    <w:rsid w:val="00F32724"/>
    <w:rsid w:val="00F338F8"/>
    <w:rsid w:val="00F35474"/>
    <w:rsid w:val="00F40DCA"/>
    <w:rsid w:val="00F41135"/>
    <w:rsid w:val="00F47CD9"/>
    <w:rsid w:val="00F57DB9"/>
    <w:rsid w:val="00F666E1"/>
    <w:rsid w:val="00F675C3"/>
    <w:rsid w:val="00F67FE9"/>
    <w:rsid w:val="00F75BE4"/>
    <w:rsid w:val="00F768F6"/>
    <w:rsid w:val="00F76F73"/>
    <w:rsid w:val="00F85751"/>
    <w:rsid w:val="00F90963"/>
    <w:rsid w:val="00FA2650"/>
    <w:rsid w:val="00FA2BB9"/>
    <w:rsid w:val="00FA48FC"/>
    <w:rsid w:val="00FB31C3"/>
    <w:rsid w:val="00FB375F"/>
    <w:rsid w:val="00FB5167"/>
    <w:rsid w:val="00FC2047"/>
    <w:rsid w:val="00FC3C7D"/>
    <w:rsid w:val="00FD3A74"/>
    <w:rsid w:val="00FE151F"/>
    <w:rsid w:val="00FE39AF"/>
    <w:rsid w:val="00FF2B20"/>
    <w:rsid w:val="00FF3EBC"/>
    <w:rsid w:val="08CF8154"/>
    <w:rsid w:val="13C76BA4"/>
    <w:rsid w:val="2CBD4D80"/>
    <w:rsid w:val="2F7F0AC4"/>
    <w:rsid w:val="37790342"/>
    <w:rsid w:val="3DDF4F72"/>
    <w:rsid w:val="3FD39FC1"/>
    <w:rsid w:val="3FFF484B"/>
    <w:rsid w:val="3FFF9858"/>
    <w:rsid w:val="46B70171"/>
    <w:rsid w:val="4DD1EDE4"/>
    <w:rsid w:val="4DE7356F"/>
    <w:rsid w:val="4E4EE1AE"/>
    <w:rsid w:val="4EBFF7EE"/>
    <w:rsid w:val="4FEFEABD"/>
    <w:rsid w:val="589B140A"/>
    <w:rsid w:val="5EF7815F"/>
    <w:rsid w:val="5FF069A3"/>
    <w:rsid w:val="5FFBB254"/>
    <w:rsid w:val="67D17242"/>
    <w:rsid w:val="6EECA114"/>
    <w:rsid w:val="6FE76088"/>
    <w:rsid w:val="6FFC73B9"/>
    <w:rsid w:val="73FE537B"/>
    <w:rsid w:val="77ED86F0"/>
    <w:rsid w:val="78FB804C"/>
    <w:rsid w:val="7B2FC5FA"/>
    <w:rsid w:val="7B673495"/>
    <w:rsid w:val="7D3B3C5E"/>
    <w:rsid w:val="7D7784EE"/>
    <w:rsid w:val="7DB715F1"/>
    <w:rsid w:val="7DBF1C2B"/>
    <w:rsid w:val="7DFFE8A7"/>
    <w:rsid w:val="7F9673E3"/>
    <w:rsid w:val="7FB78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6A3991"/>
  <w15:docId w15:val="{785CA0C2-0F18-4398-B4CE-B969D88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E16"/>
    <w:pPr>
      <w:widowControl w:val="0"/>
      <w:jc w:val="both"/>
    </w:pPr>
    <w:rPr>
      <w:kern w:val="2"/>
      <w:sz w:val="21"/>
      <w:szCs w:val="22"/>
    </w:rPr>
  </w:style>
  <w:style w:type="paragraph" w:styleId="1">
    <w:name w:val="heading 1"/>
    <w:basedOn w:val="a"/>
    <w:next w:val="a"/>
    <w:link w:val="10"/>
    <w:qFormat/>
    <w:rsid w:val="00D25E1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D25E16"/>
    <w:pPr>
      <w:keepNext/>
      <w:keepLines/>
      <w:spacing w:before="260" w:after="260" w:line="416" w:lineRule="atLeast"/>
      <w:ind w:firstLineChars="200" w:firstLine="200"/>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D25E16"/>
    <w:pPr>
      <w:jc w:val="left"/>
    </w:pPr>
  </w:style>
  <w:style w:type="paragraph" w:styleId="a5">
    <w:name w:val="Balloon Text"/>
    <w:basedOn w:val="a"/>
    <w:link w:val="a6"/>
    <w:uiPriority w:val="99"/>
    <w:unhideWhenUsed/>
    <w:rsid w:val="00D25E16"/>
    <w:rPr>
      <w:sz w:val="18"/>
      <w:szCs w:val="18"/>
    </w:rPr>
  </w:style>
  <w:style w:type="paragraph" w:styleId="a7">
    <w:name w:val="footer"/>
    <w:basedOn w:val="a"/>
    <w:link w:val="a8"/>
    <w:uiPriority w:val="99"/>
    <w:unhideWhenUsed/>
    <w:qFormat/>
    <w:rsid w:val="00D25E16"/>
    <w:pPr>
      <w:tabs>
        <w:tab w:val="center" w:pos="4153"/>
        <w:tab w:val="right" w:pos="8306"/>
      </w:tabs>
      <w:snapToGrid w:val="0"/>
      <w:jc w:val="left"/>
    </w:pPr>
    <w:rPr>
      <w:sz w:val="18"/>
      <w:szCs w:val="18"/>
    </w:rPr>
  </w:style>
  <w:style w:type="paragraph" w:styleId="a9">
    <w:name w:val="header"/>
    <w:basedOn w:val="a"/>
    <w:link w:val="aa"/>
    <w:uiPriority w:val="99"/>
    <w:unhideWhenUsed/>
    <w:rsid w:val="00D25E1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D25E16"/>
    <w:pPr>
      <w:tabs>
        <w:tab w:val="left" w:pos="750"/>
        <w:tab w:val="left" w:pos="960"/>
        <w:tab w:val="right" w:leader="dot" w:pos="8296"/>
      </w:tabs>
      <w:spacing w:line="560" w:lineRule="exact"/>
    </w:pPr>
    <w:rPr>
      <w:rFonts w:ascii="Times New Roman" w:eastAsia="仿宋" w:hAnsi="Times New Roman" w:cs="Times New Roman"/>
      <w:sz w:val="32"/>
    </w:rPr>
  </w:style>
  <w:style w:type="paragraph" w:styleId="ab">
    <w:name w:val="footnote text"/>
    <w:basedOn w:val="a"/>
    <w:link w:val="ac"/>
    <w:unhideWhenUsed/>
    <w:qFormat/>
    <w:rsid w:val="00D25E16"/>
    <w:pPr>
      <w:snapToGrid w:val="0"/>
      <w:spacing w:line="560" w:lineRule="exact"/>
      <w:ind w:firstLineChars="200" w:firstLine="200"/>
      <w:jc w:val="left"/>
    </w:pPr>
    <w:rPr>
      <w:rFonts w:ascii="Times New Roman" w:eastAsia="仿宋_GB2312" w:hAnsi="Times New Roman"/>
      <w:sz w:val="18"/>
      <w:szCs w:val="18"/>
    </w:rPr>
  </w:style>
  <w:style w:type="paragraph" w:styleId="TOC2">
    <w:name w:val="toc 2"/>
    <w:basedOn w:val="a"/>
    <w:next w:val="a"/>
    <w:uiPriority w:val="39"/>
    <w:unhideWhenUsed/>
    <w:qFormat/>
    <w:rsid w:val="00D25E16"/>
    <w:pPr>
      <w:tabs>
        <w:tab w:val="right" w:leader="dot" w:pos="8296"/>
      </w:tabs>
      <w:spacing w:line="560" w:lineRule="exact"/>
      <w:ind w:leftChars="140" w:left="420"/>
    </w:pPr>
    <w:rPr>
      <w:rFonts w:ascii="Times New Roman" w:eastAsia="仿宋" w:hAnsi="Times New Roman" w:cs="Times New Roman"/>
      <w:sz w:val="32"/>
    </w:rPr>
  </w:style>
  <w:style w:type="paragraph" w:styleId="ad">
    <w:name w:val="Normal (Web)"/>
    <w:basedOn w:val="a"/>
    <w:uiPriority w:val="99"/>
    <w:unhideWhenUsed/>
    <w:rsid w:val="00D25E16"/>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unhideWhenUsed/>
    <w:rsid w:val="00D25E16"/>
    <w:rPr>
      <w:b/>
      <w:bCs/>
    </w:rPr>
  </w:style>
  <w:style w:type="table" w:styleId="af0">
    <w:name w:val="Table Grid"/>
    <w:basedOn w:val="a1"/>
    <w:uiPriority w:val="59"/>
    <w:rsid w:val="00D25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qFormat/>
    <w:rsid w:val="00D25E16"/>
    <w:rPr>
      <w:color w:val="0563C1"/>
      <w:u w:val="single"/>
    </w:rPr>
  </w:style>
  <w:style w:type="character" w:styleId="af2">
    <w:name w:val="annotation reference"/>
    <w:basedOn w:val="a0"/>
    <w:uiPriority w:val="99"/>
    <w:unhideWhenUsed/>
    <w:rsid w:val="00D25E16"/>
    <w:rPr>
      <w:sz w:val="21"/>
      <w:szCs w:val="21"/>
    </w:rPr>
  </w:style>
  <w:style w:type="character" w:styleId="af3">
    <w:name w:val="footnote reference"/>
    <w:basedOn w:val="a0"/>
    <w:uiPriority w:val="99"/>
    <w:unhideWhenUsed/>
    <w:qFormat/>
    <w:rsid w:val="00D25E16"/>
    <w:rPr>
      <w:vertAlign w:val="superscript"/>
    </w:rPr>
  </w:style>
  <w:style w:type="paragraph" w:styleId="af4">
    <w:name w:val="List Paragraph"/>
    <w:basedOn w:val="a"/>
    <w:uiPriority w:val="34"/>
    <w:qFormat/>
    <w:rsid w:val="00D25E16"/>
    <w:pPr>
      <w:ind w:firstLineChars="200" w:firstLine="420"/>
    </w:pPr>
  </w:style>
  <w:style w:type="character" w:customStyle="1" w:styleId="aa">
    <w:name w:val="页眉 字符"/>
    <w:basedOn w:val="a0"/>
    <w:link w:val="a9"/>
    <w:uiPriority w:val="99"/>
    <w:rsid w:val="00D25E16"/>
    <w:rPr>
      <w:sz w:val="18"/>
      <w:szCs w:val="18"/>
    </w:rPr>
  </w:style>
  <w:style w:type="character" w:customStyle="1" w:styleId="a8">
    <w:name w:val="页脚 字符"/>
    <w:basedOn w:val="a0"/>
    <w:link w:val="a7"/>
    <w:uiPriority w:val="99"/>
    <w:qFormat/>
    <w:rsid w:val="00D25E16"/>
    <w:rPr>
      <w:sz w:val="18"/>
      <w:szCs w:val="18"/>
    </w:rPr>
  </w:style>
  <w:style w:type="character" w:customStyle="1" w:styleId="a6">
    <w:name w:val="批注框文本 字符"/>
    <w:basedOn w:val="a0"/>
    <w:link w:val="a5"/>
    <w:uiPriority w:val="99"/>
    <w:semiHidden/>
    <w:rsid w:val="00D25E16"/>
    <w:rPr>
      <w:sz w:val="18"/>
      <w:szCs w:val="18"/>
    </w:rPr>
  </w:style>
  <w:style w:type="character" w:customStyle="1" w:styleId="a4">
    <w:name w:val="批注文字 字符"/>
    <w:basedOn w:val="a0"/>
    <w:link w:val="a3"/>
    <w:uiPriority w:val="99"/>
    <w:rsid w:val="00D25E16"/>
  </w:style>
  <w:style w:type="character" w:customStyle="1" w:styleId="af">
    <w:name w:val="批注主题 字符"/>
    <w:basedOn w:val="a4"/>
    <w:link w:val="ae"/>
    <w:uiPriority w:val="99"/>
    <w:semiHidden/>
    <w:rsid w:val="00D25E16"/>
    <w:rPr>
      <w:b/>
      <w:bCs/>
    </w:rPr>
  </w:style>
  <w:style w:type="paragraph" w:customStyle="1" w:styleId="11">
    <w:name w:val="修订1"/>
    <w:hidden/>
    <w:uiPriority w:val="99"/>
    <w:rsid w:val="00D25E16"/>
    <w:rPr>
      <w:kern w:val="2"/>
      <w:sz w:val="21"/>
      <w:szCs w:val="22"/>
    </w:rPr>
  </w:style>
  <w:style w:type="character" w:customStyle="1" w:styleId="ac">
    <w:name w:val="脚注文本 字符"/>
    <w:basedOn w:val="a0"/>
    <w:link w:val="ab"/>
    <w:qFormat/>
    <w:rsid w:val="00D25E16"/>
    <w:rPr>
      <w:rFonts w:ascii="Times New Roman" w:eastAsia="仿宋_GB2312" w:hAnsi="Times New Roman"/>
      <w:sz w:val="18"/>
      <w:szCs w:val="18"/>
    </w:rPr>
  </w:style>
  <w:style w:type="paragraph" w:customStyle="1" w:styleId="12">
    <w:name w:val="列出段落1"/>
    <w:basedOn w:val="a"/>
    <w:uiPriority w:val="34"/>
    <w:qFormat/>
    <w:rsid w:val="00D25E16"/>
    <w:pPr>
      <w:ind w:firstLineChars="200" w:firstLine="420"/>
    </w:pPr>
  </w:style>
  <w:style w:type="character" w:customStyle="1" w:styleId="10">
    <w:name w:val="标题 1 字符"/>
    <w:basedOn w:val="a0"/>
    <w:link w:val="1"/>
    <w:qFormat/>
    <w:rsid w:val="00D25E16"/>
    <w:rPr>
      <w:rFonts w:ascii="Times New Roman" w:eastAsia="宋体" w:hAnsi="Times New Roman" w:cs="Times New Roman"/>
      <w:b/>
      <w:bCs/>
      <w:kern w:val="44"/>
      <w:sz w:val="44"/>
      <w:szCs w:val="44"/>
    </w:rPr>
  </w:style>
  <w:style w:type="character" w:customStyle="1" w:styleId="20">
    <w:name w:val="标题 2 字符"/>
    <w:basedOn w:val="a0"/>
    <w:link w:val="2"/>
    <w:qFormat/>
    <w:rsid w:val="00D25E16"/>
    <w:rPr>
      <w:rFonts w:ascii="Calibri Light" w:eastAsia="宋体" w:hAnsi="Calibri Light" w:cs="Times New Roman"/>
      <w:b/>
      <w:bCs/>
      <w:sz w:val="32"/>
      <w:szCs w:val="32"/>
    </w:rPr>
  </w:style>
  <w:style w:type="character" w:customStyle="1" w:styleId="af5">
    <w:name w:val="列表段落 字符"/>
    <w:link w:val="13"/>
    <w:uiPriority w:val="34"/>
    <w:qFormat/>
    <w:rsid w:val="00D25E16"/>
  </w:style>
  <w:style w:type="paragraph" w:customStyle="1" w:styleId="13">
    <w:name w:val="列表段落1"/>
    <w:basedOn w:val="a"/>
    <w:link w:val="af5"/>
    <w:uiPriority w:val="34"/>
    <w:qFormat/>
    <w:rsid w:val="00D25E16"/>
    <w:pPr>
      <w:ind w:left="420" w:firstLineChars="200" w:firstLine="420"/>
    </w:pPr>
  </w:style>
  <w:style w:type="paragraph" w:customStyle="1" w:styleId="Normal3">
    <w:name w:val="Normal_3"/>
    <w:qFormat/>
    <w:rsid w:val="00D25E16"/>
    <w:pPr>
      <w:spacing w:before="120" w:after="240"/>
      <w:jc w:val="both"/>
    </w:pPr>
    <w:rPr>
      <w:rFonts w:ascii="Times New Roman" w:eastAsia="宋体" w:hAnsi="Times New Roman" w:cs="Times New Roman"/>
      <w:sz w:val="22"/>
      <w:szCs w:val="22"/>
      <w:lang w:eastAsia="en-US"/>
    </w:rPr>
  </w:style>
  <w:style w:type="paragraph" w:customStyle="1" w:styleId="31">
    <w:name w:val="目录 31"/>
    <w:basedOn w:val="a"/>
    <w:next w:val="a"/>
    <w:uiPriority w:val="39"/>
    <w:unhideWhenUsed/>
    <w:qFormat/>
    <w:rsid w:val="00D25E16"/>
    <w:pPr>
      <w:widowControl/>
      <w:spacing w:after="100" w:line="276" w:lineRule="auto"/>
      <w:ind w:left="440"/>
      <w:jc w:val="left"/>
    </w:pPr>
    <w:rPr>
      <w:rFonts w:ascii="Calibri" w:eastAsia="宋体" w:hAnsi="Calibri" w:cs="Times New Roman"/>
      <w:kern w:val="0"/>
      <w:sz w:val="22"/>
    </w:rPr>
  </w:style>
  <w:style w:type="paragraph" w:customStyle="1" w:styleId="TOC10">
    <w:name w:val="TOC 标题1"/>
    <w:basedOn w:val="1"/>
    <w:next w:val="a"/>
    <w:uiPriority w:val="39"/>
    <w:unhideWhenUsed/>
    <w:qFormat/>
    <w:rsid w:val="00D25E16"/>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
    <w:name w:val="未处理的提及1"/>
    <w:uiPriority w:val="99"/>
    <w:unhideWhenUsed/>
    <w:rsid w:val="00D25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2876</Words>
  <Characters>16396</Characters>
  <Application>Microsoft Office Word</Application>
  <DocSecurity>0</DocSecurity>
  <Lines>136</Lines>
  <Paragraphs>38</Paragraphs>
  <ScaleCrop>false</ScaleCrop>
  <Company>Microsoft</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潘佳琪</dc:creator>
  <cp:lastModifiedBy>佳琪 潘</cp:lastModifiedBy>
  <cp:revision>9</cp:revision>
  <cp:lastPrinted>2023-06-10T07:06:00Z</cp:lastPrinted>
  <dcterms:created xsi:type="dcterms:W3CDTF">2025-10-24T13:02:00Z</dcterms:created>
  <dcterms:modified xsi:type="dcterms:W3CDTF">2025-10-30T14:29:00Z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DCF572BCFF8B53655A14FB6839A3FEE8_43</vt:lpwstr>
  </property>
</Properties>
</file>