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763B" w14:textId="77777777" w:rsidR="00B56BEB" w:rsidRPr="00D60D31" w:rsidRDefault="008471B5">
      <w:pPr>
        <w:spacing w:line="560" w:lineRule="exact"/>
        <w:jc w:val="left"/>
        <w:rPr>
          <w:rFonts w:ascii="仿宋" w:eastAsia="仿宋" w:hAnsi="仿宋" w:hint="eastAsia"/>
          <w:sz w:val="32"/>
          <w:szCs w:val="32"/>
        </w:rPr>
      </w:pPr>
      <w:r w:rsidRPr="00D60D31">
        <w:rPr>
          <w:rFonts w:ascii="仿宋" w:eastAsia="仿宋" w:hAnsi="仿宋" w:hint="eastAsia"/>
          <w:sz w:val="32"/>
          <w:szCs w:val="32"/>
        </w:rPr>
        <w:t>附件：</w:t>
      </w:r>
    </w:p>
    <w:p w14:paraId="14E97C9E" w14:textId="77777777" w:rsidR="00B56BEB" w:rsidRDefault="00B56BEB">
      <w:pPr>
        <w:spacing w:line="560" w:lineRule="exact"/>
        <w:jc w:val="left"/>
        <w:rPr>
          <w:rFonts w:ascii="仿宋_GB2312" w:eastAsia="仿宋_GB2312" w:hAnsi="宋体" w:hint="eastAsia"/>
          <w:sz w:val="30"/>
          <w:szCs w:val="30"/>
        </w:rPr>
      </w:pPr>
    </w:p>
    <w:p w14:paraId="5C5E824D" w14:textId="762D835B" w:rsidR="00B56BEB" w:rsidRPr="00B63169" w:rsidRDefault="008471B5">
      <w:pPr>
        <w:spacing w:line="560" w:lineRule="exact"/>
        <w:jc w:val="center"/>
        <w:rPr>
          <w:rFonts w:ascii="方正小标宋简体" w:eastAsia="方正小标宋简体" w:hAnsiTheme="majorEastAsia" w:cstheme="majorEastAsia" w:hint="eastAsia"/>
          <w:sz w:val="44"/>
          <w:szCs w:val="44"/>
        </w:rPr>
      </w:pPr>
      <w:r w:rsidRPr="00B63169">
        <w:rPr>
          <w:rFonts w:ascii="方正小标宋简体" w:eastAsia="方正小标宋简体" w:hAnsiTheme="majorEastAsia" w:cstheme="majorEastAsia" w:hint="eastAsia"/>
          <w:sz w:val="44"/>
          <w:szCs w:val="44"/>
        </w:rPr>
        <w:t>202</w:t>
      </w:r>
      <w:r w:rsidR="005D0DF5" w:rsidRPr="00B63169">
        <w:rPr>
          <w:rFonts w:ascii="方正小标宋简体" w:eastAsia="方正小标宋简体" w:hAnsiTheme="majorEastAsia" w:cstheme="majorEastAsia" w:hint="eastAsia"/>
          <w:sz w:val="44"/>
          <w:szCs w:val="44"/>
        </w:rPr>
        <w:t>4</w:t>
      </w:r>
      <w:r w:rsidRPr="00B63169">
        <w:rPr>
          <w:rFonts w:ascii="方正小标宋简体" w:eastAsia="方正小标宋简体" w:hAnsiTheme="majorEastAsia" w:cstheme="majorEastAsia" w:hint="eastAsia"/>
          <w:sz w:val="44"/>
          <w:szCs w:val="44"/>
        </w:rPr>
        <w:t>年度绿色债券评估认证</w:t>
      </w:r>
    </w:p>
    <w:p w14:paraId="30B9BA10" w14:textId="77777777" w:rsidR="00B56BEB" w:rsidRPr="00B63169" w:rsidRDefault="008471B5">
      <w:pPr>
        <w:spacing w:line="560" w:lineRule="exact"/>
        <w:jc w:val="center"/>
        <w:rPr>
          <w:rFonts w:ascii="方正小标宋简体" w:eastAsia="方正小标宋简体" w:hAnsiTheme="majorEastAsia" w:cstheme="majorEastAsia" w:hint="eastAsia"/>
          <w:sz w:val="44"/>
          <w:szCs w:val="44"/>
        </w:rPr>
      </w:pPr>
      <w:r w:rsidRPr="00B63169">
        <w:rPr>
          <w:rFonts w:ascii="方正小标宋简体" w:eastAsia="方正小标宋简体" w:hAnsiTheme="majorEastAsia" w:cstheme="majorEastAsia" w:hint="eastAsia"/>
          <w:sz w:val="44"/>
          <w:szCs w:val="44"/>
        </w:rPr>
        <w:t>市场运行及相关情况的通报</w:t>
      </w:r>
    </w:p>
    <w:p w14:paraId="6023B57A" w14:textId="77777777" w:rsidR="00B56BEB" w:rsidRDefault="00B56BEB">
      <w:pPr>
        <w:spacing w:line="560" w:lineRule="exact"/>
        <w:jc w:val="center"/>
        <w:rPr>
          <w:rFonts w:ascii="宋体" w:hAnsi="宋体" w:hint="eastAsia"/>
          <w:b/>
          <w:bCs/>
          <w:sz w:val="36"/>
          <w:szCs w:val="36"/>
        </w:rPr>
      </w:pPr>
    </w:p>
    <w:p w14:paraId="54F5F5F7" w14:textId="1299A27F" w:rsidR="00B56BEB" w:rsidRPr="00B63169" w:rsidRDefault="008471B5">
      <w:pPr>
        <w:spacing w:line="560" w:lineRule="exact"/>
        <w:ind w:firstLineChars="200" w:firstLine="640"/>
        <w:rPr>
          <w:rFonts w:ascii="仿宋" w:eastAsia="仿宋" w:hAnsi="仿宋" w:hint="eastAsia"/>
          <w:sz w:val="32"/>
          <w:szCs w:val="32"/>
        </w:rPr>
      </w:pPr>
      <w:r w:rsidRPr="00B63169">
        <w:rPr>
          <w:rFonts w:ascii="仿宋" w:eastAsia="仿宋" w:hAnsi="仿宋" w:hint="eastAsia"/>
          <w:sz w:val="32"/>
          <w:szCs w:val="32"/>
        </w:rPr>
        <w:t>自18家评估认证机构通过绿色债券标准委员会（以下简称“绿标委”）市场化评议并完成注册以来，各评估认证机构审慎开展执业，有力促进了绿色债券市场高质量发展。为进一步规范评估认证机构执业行为，加强行业自律管理，根据中国人民银行、</w:t>
      </w:r>
      <w:r w:rsidRPr="00B63169">
        <w:rPr>
          <w:rFonts w:ascii="仿宋" w:eastAsia="仿宋" w:hAnsi="仿宋"/>
          <w:sz w:val="32"/>
          <w:szCs w:val="32"/>
        </w:rPr>
        <w:t>中国证券监督管理委员会公告</w:t>
      </w:r>
      <w:r w:rsidRPr="00B63169">
        <w:rPr>
          <w:rFonts w:ascii="仿宋" w:eastAsia="仿宋" w:hAnsi="仿宋" w:hint="eastAsia"/>
          <w:sz w:val="32"/>
          <w:szCs w:val="32"/>
        </w:rPr>
        <w:t>〔</w:t>
      </w:r>
      <w:r w:rsidRPr="00B63169">
        <w:rPr>
          <w:rFonts w:ascii="仿宋" w:eastAsia="仿宋" w:hAnsi="仿宋"/>
          <w:sz w:val="32"/>
          <w:szCs w:val="32"/>
        </w:rPr>
        <w:t>2017〕第20号</w:t>
      </w:r>
      <w:r w:rsidRPr="00B63169">
        <w:rPr>
          <w:rFonts w:ascii="仿宋" w:eastAsia="仿宋" w:hAnsi="仿宋" w:hint="eastAsia"/>
          <w:sz w:val="32"/>
          <w:szCs w:val="32"/>
        </w:rPr>
        <w:t>（以下简称“</w:t>
      </w:r>
      <w:r w:rsidRPr="00B63169">
        <w:rPr>
          <w:rFonts w:ascii="仿宋" w:eastAsia="仿宋" w:hAnsi="仿宋"/>
          <w:sz w:val="32"/>
          <w:szCs w:val="32"/>
        </w:rPr>
        <w:t>20</w:t>
      </w:r>
      <w:r w:rsidRPr="00B63169">
        <w:rPr>
          <w:rFonts w:ascii="仿宋" w:eastAsia="仿宋" w:hAnsi="仿宋" w:hint="eastAsia"/>
          <w:sz w:val="32"/>
          <w:szCs w:val="32"/>
        </w:rPr>
        <w:t>号公告”）的相关要求，1</w:t>
      </w:r>
      <w:r w:rsidRPr="00B63169">
        <w:rPr>
          <w:rFonts w:ascii="仿宋" w:eastAsia="仿宋" w:hAnsi="仿宋"/>
          <w:sz w:val="32"/>
          <w:szCs w:val="32"/>
        </w:rPr>
        <w:t>8</w:t>
      </w:r>
      <w:r w:rsidRPr="00B63169">
        <w:rPr>
          <w:rFonts w:ascii="仿宋" w:eastAsia="仿宋" w:hAnsi="仿宋" w:hint="eastAsia"/>
          <w:sz w:val="32"/>
          <w:szCs w:val="32"/>
        </w:rPr>
        <w:t>家评估认证机构对202</w:t>
      </w:r>
      <w:r w:rsidR="005D0DF5" w:rsidRPr="00B63169">
        <w:rPr>
          <w:rFonts w:ascii="仿宋" w:eastAsia="仿宋" w:hAnsi="仿宋" w:hint="eastAsia"/>
          <w:sz w:val="32"/>
          <w:szCs w:val="32"/>
        </w:rPr>
        <w:t>4</w:t>
      </w:r>
      <w:r w:rsidRPr="00B63169">
        <w:rPr>
          <w:rFonts w:ascii="仿宋" w:eastAsia="仿宋" w:hAnsi="仿宋" w:hint="eastAsia"/>
          <w:sz w:val="32"/>
          <w:szCs w:val="32"/>
        </w:rPr>
        <w:t>年度评估认证业务情况开展了自查。绿标委就2</w:t>
      </w:r>
      <w:r w:rsidRPr="00B63169">
        <w:rPr>
          <w:rFonts w:ascii="仿宋" w:eastAsia="仿宋" w:hAnsi="仿宋"/>
          <w:sz w:val="32"/>
          <w:szCs w:val="32"/>
        </w:rPr>
        <w:t>02</w:t>
      </w:r>
      <w:r w:rsidR="005D0DF5" w:rsidRPr="00B63169">
        <w:rPr>
          <w:rFonts w:ascii="仿宋" w:eastAsia="仿宋" w:hAnsi="仿宋" w:hint="eastAsia"/>
          <w:sz w:val="32"/>
          <w:szCs w:val="32"/>
        </w:rPr>
        <w:t>4</w:t>
      </w:r>
      <w:r w:rsidRPr="00B63169">
        <w:rPr>
          <w:rFonts w:ascii="仿宋" w:eastAsia="仿宋" w:hAnsi="仿宋" w:hint="eastAsia"/>
          <w:sz w:val="32"/>
          <w:szCs w:val="32"/>
        </w:rPr>
        <w:t>年度绿色债券市场评估认证机构的业务开展、内部建设、自查问题及业务亮点等情况进行了总结。现就有关情况通报如下：</w:t>
      </w:r>
    </w:p>
    <w:p w14:paraId="2C6F856F" w14:textId="77777777" w:rsidR="005D0DF5" w:rsidRPr="005D0DF5" w:rsidRDefault="005D0DF5" w:rsidP="005D0DF5">
      <w:pPr>
        <w:adjustRightInd w:val="0"/>
        <w:snapToGrid w:val="0"/>
        <w:spacing w:line="560" w:lineRule="exact"/>
        <w:ind w:firstLineChars="200" w:firstLine="643"/>
        <w:rPr>
          <w:rFonts w:ascii="仿宋" w:eastAsia="仿宋" w:hAnsi="仿宋" w:cs="仿宋" w:hint="eastAsia"/>
          <w:b/>
          <w:bCs/>
          <w:sz w:val="32"/>
          <w:szCs w:val="32"/>
        </w:rPr>
      </w:pPr>
      <w:r w:rsidRPr="005D0DF5">
        <w:rPr>
          <w:rFonts w:ascii="仿宋" w:eastAsia="仿宋" w:hAnsi="仿宋" w:cs="仿宋" w:hint="eastAsia"/>
          <w:b/>
          <w:bCs/>
          <w:sz w:val="32"/>
          <w:szCs w:val="32"/>
        </w:rPr>
        <w:t>一、2024年度绿色债券评估认证市场发展情况</w:t>
      </w:r>
    </w:p>
    <w:p w14:paraId="4D5EC8AB" w14:textId="77777777" w:rsidR="005D0DF5" w:rsidRPr="005D0DF5" w:rsidRDefault="005D0DF5" w:rsidP="005D0DF5">
      <w:pPr>
        <w:adjustRightInd w:val="0"/>
        <w:snapToGrid w:val="0"/>
        <w:spacing w:line="560" w:lineRule="exact"/>
        <w:ind w:firstLineChars="200" w:firstLine="643"/>
        <w:rPr>
          <w:rFonts w:ascii="仿宋" w:eastAsia="仿宋" w:hAnsi="仿宋" w:cs="仿宋" w:hint="eastAsia"/>
          <w:b/>
          <w:bCs/>
          <w:sz w:val="32"/>
          <w:szCs w:val="32"/>
        </w:rPr>
      </w:pPr>
      <w:r w:rsidRPr="005D0DF5">
        <w:rPr>
          <w:rFonts w:ascii="仿宋" w:eastAsia="仿宋" w:hAnsi="仿宋" w:cs="仿宋" w:hint="eastAsia"/>
          <w:b/>
          <w:bCs/>
          <w:sz w:val="32"/>
          <w:szCs w:val="32"/>
        </w:rPr>
        <w:t>（一）业务高质量发展，发行规模及认证规模维持高位</w:t>
      </w:r>
    </w:p>
    <w:p w14:paraId="48451DB0"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b/>
          <w:bCs/>
          <w:sz w:val="32"/>
          <w:szCs w:val="32"/>
        </w:rPr>
      </w:pPr>
      <w:r w:rsidRPr="005D0DF5">
        <w:rPr>
          <w:rFonts w:ascii="仿宋" w:eastAsia="仿宋" w:hAnsi="仿宋" w:cs="仿宋" w:hint="eastAsia"/>
          <w:sz w:val="32"/>
          <w:szCs w:val="32"/>
        </w:rPr>
        <w:t>全市场共18家评估认证机构通过绿标委注册，2024年度16家评估认证机构</w:t>
      </w:r>
      <w:r w:rsidRPr="005D0DF5">
        <w:rPr>
          <w:rFonts w:ascii="仿宋" w:eastAsia="仿宋" w:hAnsi="仿宋" w:cs="仿宋" w:hint="eastAsia"/>
          <w:sz w:val="32"/>
          <w:szCs w:val="32"/>
          <w:vertAlign w:val="superscript"/>
        </w:rPr>
        <w:footnoteReference w:id="1"/>
      </w:r>
      <w:r w:rsidRPr="005D0DF5">
        <w:rPr>
          <w:rFonts w:ascii="仿宋" w:eastAsia="仿宋" w:hAnsi="仿宋" w:cs="仿宋" w:hint="eastAsia"/>
          <w:sz w:val="32"/>
          <w:szCs w:val="32"/>
        </w:rPr>
        <w:t>对年度评估认证业务情况进行了自查。</w:t>
      </w:r>
      <w:r w:rsidRPr="005D0DF5">
        <w:rPr>
          <w:rFonts w:ascii="仿宋" w:eastAsia="仿宋" w:hAnsi="仿宋" w:cs="仿宋" w:hint="eastAsia"/>
          <w:sz w:val="32"/>
          <w:szCs w:val="32"/>
        </w:rPr>
        <w:lastRenderedPageBreak/>
        <w:t>普华永道中天会计师事务所</w:t>
      </w:r>
      <w:r w:rsidRPr="005D0DF5">
        <w:rPr>
          <w:rFonts w:ascii="仿宋" w:eastAsia="仿宋" w:hAnsi="仿宋" w:cs="仿宋"/>
          <w:sz w:val="32"/>
          <w:szCs w:val="32"/>
        </w:rPr>
        <w:t>、</w:t>
      </w:r>
      <w:r w:rsidRPr="005D0DF5">
        <w:rPr>
          <w:rFonts w:ascii="仿宋" w:eastAsia="仿宋" w:hAnsi="仿宋" w:cs="仿宋" w:hint="eastAsia"/>
          <w:sz w:val="32"/>
          <w:szCs w:val="32"/>
        </w:rPr>
        <w:t>晨星信息咨询（上海）有限公司2家评估认证机构2024年未开展自查工作。</w:t>
      </w:r>
    </w:p>
    <w:p w14:paraId="1E90D36A"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从市场整体情况来看，2024年度，国内全市场经评估认证的绿色债券共计423只</w:t>
      </w:r>
      <w:r w:rsidRPr="005D0DF5">
        <w:rPr>
          <w:rFonts w:ascii="仿宋" w:eastAsia="仿宋" w:hAnsi="仿宋" w:cs="仿宋" w:hint="eastAsia"/>
          <w:sz w:val="32"/>
          <w:szCs w:val="32"/>
          <w:vertAlign w:val="superscript"/>
        </w:rPr>
        <w:footnoteReference w:id="2"/>
      </w:r>
      <w:r w:rsidRPr="005D0DF5">
        <w:rPr>
          <w:rFonts w:ascii="仿宋" w:eastAsia="仿宋" w:hAnsi="仿宋" w:cs="仿宋" w:hint="eastAsia"/>
          <w:sz w:val="32"/>
          <w:szCs w:val="32"/>
        </w:rPr>
        <w:t>，占全</w:t>
      </w:r>
      <w:proofErr w:type="gramStart"/>
      <w:r w:rsidRPr="005D0DF5">
        <w:rPr>
          <w:rFonts w:ascii="仿宋" w:eastAsia="仿宋" w:hAnsi="仿宋" w:cs="仿宋" w:hint="eastAsia"/>
          <w:sz w:val="32"/>
          <w:szCs w:val="32"/>
        </w:rPr>
        <w:t>市场绿债发行</w:t>
      </w:r>
      <w:proofErr w:type="gramEnd"/>
      <w:r w:rsidRPr="005D0DF5">
        <w:rPr>
          <w:rFonts w:ascii="仿宋" w:eastAsia="仿宋" w:hAnsi="仿宋" w:cs="仿宋" w:hint="eastAsia"/>
          <w:sz w:val="32"/>
          <w:szCs w:val="32"/>
        </w:rPr>
        <w:t>只数的88.68%；评估认证总规模达6333.02亿元，占比92.94%。从</w:t>
      </w:r>
      <w:proofErr w:type="gramStart"/>
      <w:r w:rsidRPr="005D0DF5">
        <w:rPr>
          <w:rFonts w:ascii="仿宋" w:eastAsia="仿宋" w:hAnsi="仿宋" w:cs="仿宋" w:hint="eastAsia"/>
          <w:sz w:val="32"/>
          <w:szCs w:val="32"/>
        </w:rPr>
        <w:t>绿债产品</w:t>
      </w:r>
      <w:proofErr w:type="gramEnd"/>
      <w:r w:rsidRPr="005D0DF5">
        <w:rPr>
          <w:rFonts w:ascii="仿宋" w:eastAsia="仿宋" w:hAnsi="仿宋" w:cs="仿宋" w:hint="eastAsia"/>
          <w:sz w:val="32"/>
          <w:szCs w:val="32"/>
        </w:rPr>
        <w:t>类型来看，2024年已发行经评估认证的绿色金融债券共62只，规模2545.91亿元，占比100%，涉及发行人40家；已发行经评估认证的绿色债务融资工具共241只，规模2416.45亿元，占比93.39%，涉及发行人128家；已发行经评估认证的绿色公司债（含企业债）共120只，规模1370.66亿元，占比81.54%，涉及发行人71家。整体评估认证情况如下：</w:t>
      </w:r>
    </w:p>
    <w:p w14:paraId="350B4141" w14:textId="77777777" w:rsidR="005D0DF5" w:rsidRPr="005D0DF5" w:rsidRDefault="005D0DF5" w:rsidP="005D0DF5">
      <w:pPr>
        <w:adjustRightInd w:val="0"/>
        <w:snapToGrid w:val="0"/>
        <w:spacing w:line="560" w:lineRule="exact"/>
        <w:jc w:val="center"/>
        <w:rPr>
          <w:rFonts w:ascii="仿宋" w:eastAsia="仿宋" w:hAnsi="仿宋" w:cs="仿宋" w:hint="eastAsia"/>
          <w:sz w:val="32"/>
          <w:szCs w:val="32"/>
        </w:rPr>
      </w:pPr>
      <w:r w:rsidRPr="005D0DF5">
        <w:rPr>
          <w:rFonts w:ascii="仿宋" w:eastAsia="仿宋" w:hAnsi="仿宋" w:cs="仿宋" w:hint="eastAsia"/>
          <w:b/>
          <w:bCs/>
          <w:sz w:val="32"/>
          <w:szCs w:val="32"/>
        </w:rPr>
        <w:t>表1  绿色债券评估认证基本情况</w:t>
      </w:r>
    </w:p>
    <w:p w14:paraId="0BD339DA" w14:textId="77777777" w:rsidR="005D0DF5" w:rsidRPr="005D0DF5" w:rsidRDefault="005D0DF5" w:rsidP="005D0DF5">
      <w:pPr>
        <w:adjustRightInd w:val="0"/>
        <w:snapToGrid w:val="0"/>
        <w:spacing w:line="560" w:lineRule="exact"/>
        <w:ind w:firstLineChars="200" w:firstLine="480"/>
        <w:jc w:val="right"/>
        <w:rPr>
          <w:rFonts w:ascii="仿宋" w:eastAsia="仿宋" w:hAnsi="仿宋" w:cs="仿宋" w:hint="eastAsia"/>
          <w:color w:val="000000"/>
          <w:kern w:val="0"/>
          <w:sz w:val="24"/>
        </w:rPr>
      </w:pPr>
      <w:r w:rsidRPr="005D0DF5">
        <w:rPr>
          <w:rFonts w:ascii="仿宋" w:eastAsia="仿宋" w:hAnsi="仿宋" w:cs="仿宋" w:hint="eastAsia"/>
          <w:color w:val="000000"/>
          <w:kern w:val="0"/>
          <w:sz w:val="24"/>
        </w:rPr>
        <w:t>单位：亿元，%</w:t>
      </w:r>
    </w:p>
    <w:tbl>
      <w:tblPr>
        <w:tblW w:w="93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17"/>
        <w:gridCol w:w="1439"/>
        <w:gridCol w:w="1238"/>
        <w:gridCol w:w="1121"/>
        <w:gridCol w:w="1531"/>
        <w:gridCol w:w="1289"/>
        <w:gridCol w:w="978"/>
      </w:tblGrid>
      <w:tr w:rsidR="005D0DF5" w:rsidRPr="005D0DF5" w14:paraId="47995FF8" w14:textId="77777777" w:rsidTr="00D72B9A">
        <w:trPr>
          <w:trHeight w:val="57"/>
          <w:jc w:val="center"/>
        </w:trPr>
        <w:tc>
          <w:tcPr>
            <w:tcW w:w="1717" w:type="dxa"/>
            <w:vMerge w:val="restart"/>
            <w:tcBorders>
              <w:tl2br w:val="nil"/>
              <w:tr2bl w:val="nil"/>
            </w:tcBorders>
            <w:shd w:val="clear" w:color="auto" w:fill="auto"/>
            <w:noWrap/>
            <w:vAlign w:val="center"/>
          </w:tcPr>
          <w:p w14:paraId="415F0E80" w14:textId="77777777" w:rsidR="005D0DF5" w:rsidRPr="005D0DF5" w:rsidRDefault="005D0DF5" w:rsidP="005D0DF5">
            <w:pPr>
              <w:widowControl/>
              <w:adjustRightInd w:val="0"/>
              <w:snapToGrid w:val="0"/>
              <w:spacing w:line="560" w:lineRule="exact"/>
              <w:jc w:val="center"/>
              <w:rPr>
                <w:rFonts w:ascii="仿宋" w:eastAsia="仿宋" w:hAnsi="仿宋" w:cs="仿宋" w:hint="eastAsia"/>
                <w:b/>
                <w:bCs/>
                <w:color w:val="000000"/>
                <w:kern w:val="0"/>
                <w:sz w:val="24"/>
              </w:rPr>
            </w:pPr>
            <w:r w:rsidRPr="005D0DF5">
              <w:rPr>
                <w:rFonts w:ascii="仿宋" w:eastAsia="仿宋" w:hAnsi="仿宋" w:cs="仿宋" w:hint="eastAsia"/>
                <w:b/>
                <w:bCs/>
                <w:color w:val="000000"/>
                <w:kern w:val="0"/>
                <w:sz w:val="24"/>
              </w:rPr>
              <w:t>绿色券种</w:t>
            </w:r>
          </w:p>
        </w:tc>
        <w:tc>
          <w:tcPr>
            <w:tcW w:w="3798" w:type="dxa"/>
            <w:gridSpan w:val="3"/>
            <w:tcBorders>
              <w:tl2br w:val="nil"/>
              <w:tr2bl w:val="nil"/>
            </w:tcBorders>
            <w:shd w:val="clear" w:color="auto" w:fill="auto"/>
            <w:noWrap/>
            <w:vAlign w:val="center"/>
          </w:tcPr>
          <w:p w14:paraId="76BC2814" w14:textId="77777777" w:rsidR="005D0DF5" w:rsidRPr="005D0DF5" w:rsidRDefault="005D0DF5" w:rsidP="005D0DF5">
            <w:pPr>
              <w:widowControl/>
              <w:adjustRightInd w:val="0"/>
              <w:snapToGrid w:val="0"/>
              <w:spacing w:line="560" w:lineRule="exact"/>
              <w:jc w:val="center"/>
              <w:rPr>
                <w:rFonts w:ascii="仿宋" w:eastAsia="仿宋" w:hAnsi="仿宋" w:cs="仿宋" w:hint="eastAsia"/>
                <w:b/>
                <w:bCs/>
                <w:color w:val="000000"/>
                <w:kern w:val="0"/>
                <w:sz w:val="24"/>
              </w:rPr>
            </w:pPr>
            <w:r w:rsidRPr="005D0DF5">
              <w:rPr>
                <w:rFonts w:ascii="仿宋" w:eastAsia="仿宋" w:hAnsi="仿宋" w:cs="仿宋" w:hint="eastAsia"/>
                <w:b/>
                <w:bCs/>
                <w:color w:val="000000"/>
                <w:kern w:val="0"/>
                <w:sz w:val="24"/>
              </w:rPr>
              <w:t>2024年</w:t>
            </w:r>
          </w:p>
        </w:tc>
        <w:tc>
          <w:tcPr>
            <w:tcW w:w="3798" w:type="dxa"/>
            <w:gridSpan w:val="3"/>
            <w:tcBorders>
              <w:tl2br w:val="nil"/>
              <w:tr2bl w:val="nil"/>
            </w:tcBorders>
            <w:shd w:val="clear" w:color="auto" w:fill="auto"/>
            <w:noWrap/>
            <w:vAlign w:val="center"/>
          </w:tcPr>
          <w:p w14:paraId="2B5A7077" w14:textId="77777777" w:rsidR="005D0DF5" w:rsidRPr="005D0DF5" w:rsidRDefault="005D0DF5" w:rsidP="005D0DF5">
            <w:pPr>
              <w:widowControl/>
              <w:adjustRightInd w:val="0"/>
              <w:snapToGrid w:val="0"/>
              <w:spacing w:line="560" w:lineRule="exact"/>
              <w:jc w:val="center"/>
              <w:rPr>
                <w:rFonts w:ascii="仿宋" w:eastAsia="仿宋" w:hAnsi="仿宋" w:cs="仿宋" w:hint="eastAsia"/>
                <w:b/>
                <w:bCs/>
                <w:color w:val="000000"/>
                <w:kern w:val="0"/>
                <w:sz w:val="24"/>
              </w:rPr>
            </w:pPr>
            <w:r w:rsidRPr="005D0DF5">
              <w:rPr>
                <w:rFonts w:ascii="仿宋" w:eastAsia="仿宋" w:hAnsi="仿宋" w:cs="仿宋" w:hint="eastAsia"/>
                <w:b/>
                <w:bCs/>
                <w:color w:val="000000"/>
                <w:kern w:val="0"/>
                <w:sz w:val="24"/>
              </w:rPr>
              <w:t>2023年</w:t>
            </w:r>
          </w:p>
        </w:tc>
      </w:tr>
      <w:tr w:rsidR="005D0DF5" w:rsidRPr="005D0DF5" w14:paraId="3D538452" w14:textId="77777777" w:rsidTr="00D72B9A">
        <w:trPr>
          <w:trHeight w:val="57"/>
          <w:jc w:val="center"/>
        </w:trPr>
        <w:tc>
          <w:tcPr>
            <w:tcW w:w="1717" w:type="dxa"/>
            <w:vMerge/>
            <w:tcBorders>
              <w:tl2br w:val="nil"/>
              <w:tr2bl w:val="nil"/>
            </w:tcBorders>
            <w:vAlign w:val="center"/>
          </w:tcPr>
          <w:p w14:paraId="620385A8" w14:textId="77777777" w:rsidR="005D0DF5" w:rsidRPr="005D0DF5" w:rsidRDefault="005D0DF5" w:rsidP="005D0DF5">
            <w:pPr>
              <w:widowControl/>
              <w:adjustRightInd w:val="0"/>
              <w:snapToGrid w:val="0"/>
              <w:spacing w:line="560" w:lineRule="exact"/>
              <w:jc w:val="center"/>
              <w:rPr>
                <w:rFonts w:ascii="仿宋" w:eastAsia="仿宋" w:hAnsi="仿宋" w:cs="仿宋" w:hint="eastAsia"/>
                <w:b/>
                <w:bCs/>
                <w:color w:val="000000"/>
                <w:kern w:val="0"/>
                <w:sz w:val="24"/>
              </w:rPr>
            </w:pPr>
          </w:p>
        </w:tc>
        <w:tc>
          <w:tcPr>
            <w:tcW w:w="1439" w:type="dxa"/>
            <w:tcBorders>
              <w:tl2br w:val="nil"/>
              <w:tr2bl w:val="nil"/>
            </w:tcBorders>
            <w:shd w:val="clear" w:color="auto" w:fill="auto"/>
            <w:noWrap/>
            <w:vAlign w:val="center"/>
          </w:tcPr>
          <w:p w14:paraId="3C2B72B2" w14:textId="77777777" w:rsidR="005D0DF5" w:rsidRPr="005D0DF5" w:rsidRDefault="005D0DF5" w:rsidP="005D0DF5">
            <w:pPr>
              <w:widowControl/>
              <w:adjustRightInd w:val="0"/>
              <w:snapToGrid w:val="0"/>
              <w:spacing w:line="560" w:lineRule="exact"/>
              <w:jc w:val="center"/>
              <w:rPr>
                <w:rFonts w:ascii="仿宋" w:eastAsia="仿宋" w:hAnsi="仿宋" w:cs="仿宋" w:hint="eastAsia"/>
                <w:b/>
                <w:bCs/>
                <w:color w:val="000000"/>
                <w:kern w:val="0"/>
                <w:sz w:val="24"/>
              </w:rPr>
            </w:pPr>
            <w:r w:rsidRPr="005D0DF5">
              <w:rPr>
                <w:rFonts w:ascii="仿宋" w:eastAsia="仿宋" w:hAnsi="仿宋" w:cs="仿宋" w:hint="eastAsia"/>
                <w:b/>
                <w:bCs/>
                <w:color w:val="000000"/>
                <w:kern w:val="0"/>
                <w:sz w:val="24"/>
              </w:rPr>
              <w:t>新发行规模</w:t>
            </w:r>
          </w:p>
        </w:tc>
        <w:tc>
          <w:tcPr>
            <w:tcW w:w="1238" w:type="dxa"/>
            <w:tcBorders>
              <w:tl2br w:val="nil"/>
              <w:tr2bl w:val="nil"/>
            </w:tcBorders>
            <w:shd w:val="clear" w:color="auto" w:fill="auto"/>
            <w:noWrap/>
            <w:vAlign w:val="center"/>
          </w:tcPr>
          <w:p w14:paraId="69DBE962" w14:textId="77777777" w:rsidR="005D0DF5" w:rsidRPr="005D0DF5" w:rsidRDefault="005D0DF5" w:rsidP="005D0DF5">
            <w:pPr>
              <w:widowControl/>
              <w:adjustRightInd w:val="0"/>
              <w:snapToGrid w:val="0"/>
              <w:spacing w:line="560" w:lineRule="exact"/>
              <w:jc w:val="center"/>
              <w:rPr>
                <w:rFonts w:ascii="仿宋" w:eastAsia="仿宋" w:hAnsi="仿宋" w:cs="仿宋" w:hint="eastAsia"/>
                <w:b/>
                <w:bCs/>
                <w:color w:val="000000"/>
                <w:kern w:val="0"/>
                <w:sz w:val="24"/>
              </w:rPr>
            </w:pPr>
            <w:r w:rsidRPr="005D0DF5">
              <w:rPr>
                <w:rFonts w:ascii="仿宋" w:eastAsia="仿宋" w:hAnsi="仿宋" w:cs="仿宋" w:hint="eastAsia"/>
                <w:b/>
                <w:bCs/>
                <w:color w:val="000000"/>
                <w:kern w:val="0"/>
                <w:sz w:val="24"/>
              </w:rPr>
              <w:t>评估认证规模</w:t>
            </w:r>
          </w:p>
        </w:tc>
        <w:tc>
          <w:tcPr>
            <w:tcW w:w="1121" w:type="dxa"/>
            <w:tcBorders>
              <w:tl2br w:val="nil"/>
              <w:tr2bl w:val="nil"/>
            </w:tcBorders>
            <w:shd w:val="clear" w:color="auto" w:fill="auto"/>
            <w:noWrap/>
            <w:vAlign w:val="center"/>
          </w:tcPr>
          <w:p w14:paraId="349542D2" w14:textId="77777777" w:rsidR="005D0DF5" w:rsidRPr="005D0DF5" w:rsidRDefault="005D0DF5" w:rsidP="005D0DF5">
            <w:pPr>
              <w:widowControl/>
              <w:adjustRightInd w:val="0"/>
              <w:snapToGrid w:val="0"/>
              <w:spacing w:line="560" w:lineRule="exact"/>
              <w:jc w:val="center"/>
              <w:rPr>
                <w:rFonts w:ascii="仿宋" w:eastAsia="仿宋" w:hAnsi="仿宋" w:cs="仿宋" w:hint="eastAsia"/>
                <w:b/>
                <w:bCs/>
                <w:color w:val="000000"/>
                <w:kern w:val="0"/>
                <w:sz w:val="24"/>
              </w:rPr>
            </w:pPr>
            <w:r w:rsidRPr="005D0DF5">
              <w:rPr>
                <w:rFonts w:ascii="仿宋" w:eastAsia="仿宋" w:hAnsi="仿宋" w:cs="仿宋" w:hint="eastAsia"/>
                <w:b/>
                <w:bCs/>
                <w:color w:val="000000"/>
                <w:kern w:val="0"/>
                <w:sz w:val="24"/>
              </w:rPr>
              <w:t>占比</w:t>
            </w:r>
          </w:p>
        </w:tc>
        <w:tc>
          <w:tcPr>
            <w:tcW w:w="1531" w:type="dxa"/>
            <w:tcBorders>
              <w:tl2br w:val="nil"/>
              <w:tr2bl w:val="nil"/>
            </w:tcBorders>
            <w:shd w:val="clear" w:color="auto" w:fill="auto"/>
            <w:noWrap/>
            <w:vAlign w:val="center"/>
          </w:tcPr>
          <w:p w14:paraId="5D31538B" w14:textId="77777777" w:rsidR="005D0DF5" w:rsidRPr="005D0DF5" w:rsidRDefault="005D0DF5" w:rsidP="005D0DF5">
            <w:pPr>
              <w:widowControl/>
              <w:adjustRightInd w:val="0"/>
              <w:snapToGrid w:val="0"/>
              <w:spacing w:line="560" w:lineRule="exact"/>
              <w:jc w:val="center"/>
              <w:rPr>
                <w:rFonts w:ascii="仿宋" w:eastAsia="仿宋" w:hAnsi="仿宋" w:cs="仿宋" w:hint="eastAsia"/>
                <w:b/>
                <w:bCs/>
                <w:color w:val="000000"/>
                <w:kern w:val="0"/>
                <w:sz w:val="24"/>
              </w:rPr>
            </w:pPr>
            <w:r w:rsidRPr="005D0DF5">
              <w:rPr>
                <w:rFonts w:ascii="仿宋" w:eastAsia="仿宋" w:hAnsi="仿宋" w:cs="仿宋" w:hint="eastAsia"/>
                <w:b/>
                <w:bCs/>
                <w:color w:val="000000"/>
                <w:kern w:val="0"/>
                <w:sz w:val="24"/>
              </w:rPr>
              <w:t>新发行规模</w:t>
            </w:r>
          </w:p>
        </w:tc>
        <w:tc>
          <w:tcPr>
            <w:tcW w:w="1289" w:type="dxa"/>
            <w:tcBorders>
              <w:tl2br w:val="nil"/>
              <w:tr2bl w:val="nil"/>
            </w:tcBorders>
            <w:shd w:val="clear" w:color="auto" w:fill="auto"/>
            <w:noWrap/>
            <w:vAlign w:val="center"/>
          </w:tcPr>
          <w:p w14:paraId="485EF2DB" w14:textId="77777777" w:rsidR="005D0DF5" w:rsidRPr="005D0DF5" w:rsidRDefault="005D0DF5" w:rsidP="005D0DF5">
            <w:pPr>
              <w:widowControl/>
              <w:adjustRightInd w:val="0"/>
              <w:snapToGrid w:val="0"/>
              <w:spacing w:line="560" w:lineRule="exact"/>
              <w:jc w:val="center"/>
              <w:rPr>
                <w:rFonts w:ascii="仿宋" w:eastAsia="仿宋" w:hAnsi="仿宋" w:cs="仿宋" w:hint="eastAsia"/>
                <w:b/>
                <w:bCs/>
                <w:color w:val="000000"/>
                <w:kern w:val="0"/>
                <w:sz w:val="24"/>
              </w:rPr>
            </w:pPr>
            <w:r w:rsidRPr="005D0DF5">
              <w:rPr>
                <w:rFonts w:ascii="仿宋" w:eastAsia="仿宋" w:hAnsi="仿宋" w:cs="仿宋" w:hint="eastAsia"/>
                <w:b/>
                <w:bCs/>
                <w:color w:val="000000"/>
                <w:kern w:val="0"/>
                <w:sz w:val="24"/>
              </w:rPr>
              <w:t>评估认证规模</w:t>
            </w:r>
          </w:p>
        </w:tc>
        <w:tc>
          <w:tcPr>
            <w:tcW w:w="978" w:type="dxa"/>
            <w:tcBorders>
              <w:tl2br w:val="nil"/>
              <w:tr2bl w:val="nil"/>
            </w:tcBorders>
            <w:shd w:val="clear" w:color="auto" w:fill="auto"/>
            <w:noWrap/>
            <w:vAlign w:val="center"/>
          </w:tcPr>
          <w:p w14:paraId="7D97A2F5" w14:textId="77777777" w:rsidR="005D0DF5" w:rsidRPr="005D0DF5" w:rsidRDefault="005D0DF5" w:rsidP="005D0DF5">
            <w:pPr>
              <w:widowControl/>
              <w:adjustRightInd w:val="0"/>
              <w:snapToGrid w:val="0"/>
              <w:spacing w:line="560" w:lineRule="exact"/>
              <w:jc w:val="center"/>
              <w:rPr>
                <w:rFonts w:ascii="仿宋" w:eastAsia="仿宋" w:hAnsi="仿宋" w:cs="仿宋" w:hint="eastAsia"/>
                <w:b/>
                <w:bCs/>
                <w:color w:val="000000"/>
                <w:kern w:val="0"/>
                <w:sz w:val="24"/>
              </w:rPr>
            </w:pPr>
            <w:r w:rsidRPr="005D0DF5">
              <w:rPr>
                <w:rFonts w:ascii="仿宋" w:eastAsia="仿宋" w:hAnsi="仿宋" w:cs="仿宋" w:hint="eastAsia"/>
                <w:b/>
                <w:bCs/>
                <w:color w:val="000000"/>
                <w:kern w:val="0"/>
                <w:sz w:val="24"/>
              </w:rPr>
              <w:t>占比</w:t>
            </w:r>
          </w:p>
        </w:tc>
      </w:tr>
      <w:tr w:rsidR="005D0DF5" w:rsidRPr="005D0DF5" w14:paraId="5BD0EDD2" w14:textId="77777777" w:rsidTr="00D72B9A">
        <w:trPr>
          <w:trHeight w:val="57"/>
          <w:jc w:val="center"/>
        </w:trPr>
        <w:tc>
          <w:tcPr>
            <w:tcW w:w="1717" w:type="dxa"/>
            <w:tcBorders>
              <w:tl2br w:val="nil"/>
              <w:tr2bl w:val="nil"/>
            </w:tcBorders>
            <w:shd w:val="clear" w:color="auto" w:fill="auto"/>
            <w:noWrap/>
            <w:vAlign w:val="center"/>
          </w:tcPr>
          <w:p w14:paraId="4808063F"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绿色债务融资工具</w:t>
            </w:r>
          </w:p>
        </w:tc>
        <w:tc>
          <w:tcPr>
            <w:tcW w:w="1439" w:type="dxa"/>
            <w:tcBorders>
              <w:tl2br w:val="nil"/>
              <w:tr2bl w:val="nil"/>
            </w:tcBorders>
            <w:shd w:val="clear" w:color="auto" w:fill="auto"/>
            <w:noWrap/>
            <w:vAlign w:val="center"/>
          </w:tcPr>
          <w:p w14:paraId="76E46B29"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2,587.51</w:t>
            </w:r>
          </w:p>
        </w:tc>
        <w:tc>
          <w:tcPr>
            <w:tcW w:w="1238" w:type="dxa"/>
            <w:tcBorders>
              <w:tl2br w:val="nil"/>
              <w:tr2bl w:val="nil"/>
            </w:tcBorders>
            <w:shd w:val="clear" w:color="auto" w:fill="auto"/>
            <w:noWrap/>
            <w:vAlign w:val="center"/>
          </w:tcPr>
          <w:p w14:paraId="33F000A7"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2,416.45</w:t>
            </w:r>
          </w:p>
        </w:tc>
        <w:tc>
          <w:tcPr>
            <w:tcW w:w="1121" w:type="dxa"/>
            <w:tcBorders>
              <w:tl2br w:val="nil"/>
              <w:tr2bl w:val="nil"/>
            </w:tcBorders>
            <w:shd w:val="clear" w:color="auto" w:fill="auto"/>
            <w:noWrap/>
            <w:vAlign w:val="center"/>
          </w:tcPr>
          <w:p w14:paraId="1955CAC8"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93.39</w:t>
            </w:r>
          </w:p>
        </w:tc>
        <w:tc>
          <w:tcPr>
            <w:tcW w:w="1531" w:type="dxa"/>
            <w:tcBorders>
              <w:tl2br w:val="nil"/>
              <w:tr2bl w:val="nil"/>
            </w:tcBorders>
            <w:shd w:val="clear" w:color="auto" w:fill="auto"/>
            <w:noWrap/>
            <w:vAlign w:val="center"/>
          </w:tcPr>
          <w:p w14:paraId="0B511268"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1,945.05</w:t>
            </w:r>
          </w:p>
        </w:tc>
        <w:tc>
          <w:tcPr>
            <w:tcW w:w="1289" w:type="dxa"/>
            <w:tcBorders>
              <w:tl2br w:val="nil"/>
              <w:tr2bl w:val="nil"/>
            </w:tcBorders>
            <w:shd w:val="clear" w:color="auto" w:fill="auto"/>
            <w:noWrap/>
            <w:vAlign w:val="center"/>
          </w:tcPr>
          <w:p w14:paraId="403BD8A7"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1,834.97</w:t>
            </w:r>
          </w:p>
        </w:tc>
        <w:tc>
          <w:tcPr>
            <w:tcW w:w="978" w:type="dxa"/>
            <w:tcBorders>
              <w:tl2br w:val="nil"/>
              <w:tr2bl w:val="nil"/>
            </w:tcBorders>
            <w:shd w:val="clear" w:color="auto" w:fill="auto"/>
            <w:noWrap/>
            <w:vAlign w:val="center"/>
          </w:tcPr>
          <w:p w14:paraId="52F35356"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94.34</w:t>
            </w:r>
          </w:p>
        </w:tc>
      </w:tr>
      <w:tr w:rsidR="005D0DF5" w:rsidRPr="005D0DF5" w14:paraId="715482A9" w14:textId="77777777" w:rsidTr="00D72B9A">
        <w:trPr>
          <w:trHeight w:val="57"/>
          <w:jc w:val="center"/>
        </w:trPr>
        <w:tc>
          <w:tcPr>
            <w:tcW w:w="1717" w:type="dxa"/>
            <w:tcBorders>
              <w:tl2br w:val="nil"/>
              <w:tr2bl w:val="nil"/>
            </w:tcBorders>
            <w:shd w:val="clear" w:color="auto" w:fill="auto"/>
            <w:noWrap/>
            <w:vAlign w:val="center"/>
          </w:tcPr>
          <w:p w14:paraId="79407A7C"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绿色公司债（含企业债）</w:t>
            </w:r>
            <w:r w:rsidRPr="005D0DF5">
              <w:rPr>
                <w:rFonts w:ascii="仿宋" w:eastAsia="仿宋" w:hAnsi="仿宋" w:cs="仿宋" w:hint="eastAsia"/>
                <w:color w:val="000000"/>
                <w:kern w:val="0"/>
                <w:sz w:val="24"/>
                <w:vertAlign w:val="superscript"/>
              </w:rPr>
              <w:footnoteReference w:id="3"/>
            </w:r>
          </w:p>
        </w:tc>
        <w:tc>
          <w:tcPr>
            <w:tcW w:w="1439" w:type="dxa"/>
            <w:tcBorders>
              <w:tl2br w:val="nil"/>
              <w:tr2bl w:val="nil"/>
            </w:tcBorders>
            <w:shd w:val="clear" w:color="auto" w:fill="auto"/>
            <w:noWrap/>
            <w:vAlign w:val="center"/>
          </w:tcPr>
          <w:p w14:paraId="39A7E826"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1,680.91</w:t>
            </w:r>
          </w:p>
        </w:tc>
        <w:tc>
          <w:tcPr>
            <w:tcW w:w="1238" w:type="dxa"/>
            <w:tcBorders>
              <w:tl2br w:val="nil"/>
              <w:tr2bl w:val="nil"/>
            </w:tcBorders>
            <w:shd w:val="clear" w:color="auto" w:fill="auto"/>
            <w:noWrap/>
            <w:vAlign w:val="center"/>
          </w:tcPr>
          <w:p w14:paraId="7981D271"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1,370.66</w:t>
            </w:r>
          </w:p>
        </w:tc>
        <w:tc>
          <w:tcPr>
            <w:tcW w:w="1121" w:type="dxa"/>
            <w:tcBorders>
              <w:tl2br w:val="nil"/>
              <w:tr2bl w:val="nil"/>
            </w:tcBorders>
            <w:shd w:val="clear" w:color="auto" w:fill="auto"/>
            <w:noWrap/>
            <w:vAlign w:val="center"/>
          </w:tcPr>
          <w:p w14:paraId="047334B0"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81.54</w:t>
            </w:r>
          </w:p>
        </w:tc>
        <w:tc>
          <w:tcPr>
            <w:tcW w:w="1531" w:type="dxa"/>
            <w:tcBorders>
              <w:tl2br w:val="nil"/>
              <w:tr2bl w:val="nil"/>
            </w:tcBorders>
            <w:shd w:val="clear" w:color="auto" w:fill="auto"/>
            <w:noWrap/>
            <w:vAlign w:val="center"/>
          </w:tcPr>
          <w:p w14:paraId="52B8EC53"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2,011.14</w:t>
            </w:r>
          </w:p>
        </w:tc>
        <w:tc>
          <w:tcPr>
            <w:tcW w:w="1289" w:type="dxa"/>
            <w:tcBorders>
              <w:tl2br w:val="nil"/>
              <w:tr2bl w:val="nil"/>
            </w:tcBorders>
            <w:shd w:val="clear" w:color="auto" w:fill="auto"/>
            <w:noWrap/>
            <w:vAlign w:val="center"/>
          </w:tcPr>
          <w:p w14:paraId="1B4F0253"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1,665.35</w:t>
            </w:r>
          </w:p>
        </w:tc>
        <w:tc>
          <w:tcPr>
            <w:tcW w:w="978" w:type="dxa"/>
            <w:tcBorders>
              <w:tl2br w:val="nil"/>
              <w:tr2bl w:val="nil"/>
            </w:tcBorders>
            <w:shd w:val="clear" w:color="auto" w:fill="auto"/>
            <w:noWrap/>
            <w:vAlign w:val="center"/>
          </w:tcPr>
          <w:p w14:paraId="4118D948"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82.81</w:t>
            </w:r>
          </w:p>
        </w:tc>
      </w:tr>
      <w:tr w:rsidR="005D0DF5" w:rsidRPr="005D0DF5" w14:paraId="14AFE9C9" w14:textId="77777777" w:rsidTr="00D72B9A">
        <w:trPr>
          <w:trHeight w:val="57"/>
          <w:jc w:val="center"/>
        </w:trPr>
        <w:tc>
          <w:tcPr>
            <w:tcW w:w="1717" w:type="dxa"/>
            <w:tcBorders>
              <w:tl2br w:val="nil"/>
              <w:tr2bl w:val="nil"/>
            </w:tcBorders>
            <w:shd w:val="clear" w:color="auto" w:fill="auto"/>
            <w:noWrap/>
            <w:vAlign w:val="center"/>
          </w:tcPr>
          <w:p w14:paraId="52256FA0"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绿色金融债</w:t>
            </w:r>
          </w:p>
        </w:tc>
        <w:tc>
          <w:tcPr>
            <w:tcW w:w="1439" w:type="dxa"/>
            <w:tcBorders>
              <w:tl2br w:val="nil"/>
              <w:tr2bl w:val="nil"/>
            </w:tcBorders>
            <w:shd w:val="clear" w:color="auto" w:fill="auto"/>
            <w:noWrap/>
            <w:vAlign w:val="center"/>
          </w:tcPr>
          <w:p w14:paraId="01382C10"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2,545.91</w:t>
            </w:r>
          </w:p>
        </w:tc>
        <w:tc>
          <w:tcPr>
            <w:tcW w:w="1238" w:type="dxa"/>
            <w:tcBorders>
              <w:tl2br w:val="nil"/>
              <w:tr2bl w:val="nil"/>
            </w:tcBorders>
            <w:shd w:val="clear" w:color="auto" w:fill="auto"/>
            <w:noWrap/>
            <w:vAlign w:val="center"/>
          </w:tcPr>
          <w:p w14:paraId="62FF1A9B"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2,545.91</w:t>
            </w:r>
          </w:p>
        </w:tc>
        <w:tc>
          <w:tcPr>
            <w:tcW w:w="1121" w:type="dxa"/>
            <w:tcBorders>
              <w:tl2br w:val="nil"/>
              <w:tr2bl w:val="nil"/>
            </w:tcBorders>
            <w:shd w:val="clear" w:color="auto" w:fill="auto"/>
            <w:noWrap/>
            <w:vAlign w:val="center"/>
          </w:tcPr>
          <w:p w14:paraId="6FACA05F"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100.00</w:t>
            </w:r>
          </w:p>
        </w:tc>
        <w:tc>
          <w:tcPr>
            <w:tcW w:w="1531" w:type="dxa"/>
            <w:tcBorders>
              <w:tl2br w:val="nil"/>
              <w:tr2bl w:val="nil"/>
            </w:tcBorders>
            <w:shd w:val="clear" w:color="auto" w:fill="auto"/>
            <w:noWrap/>
            <w:vAlign w:val="center"/>
          </w:tcPr>
          <w:p w14:paraId="4C914FAD"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4,414.24</w:t>
            </w:r>
          </w:p>
        </w:tc>
        <w:tc>
          <w:tcPr>
            <w:tcW w:w="1289" w:type="dxa"/>
            <w:tcBorders>
              <w:tl2br w:val="nil"/>
              <w:tr2bl w:val="nil"/>
            </w:tcBorders>
            <w:shd w:val="clear" w:color="auto" w:fill="auto"/>
            <w:noWrap/>
            <w:vAlign w:val="center"/>
          </w:tcPr>
          <w:p w14:paraId="7DAA80BA"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4,414.24</w:t>
            </w:r>
          </w:p>
        </w:tc>
        <w:tc>
          <w:tcPr>
            <w:tcW w:w="978" w:type="dxa"/>
            <w:tcBorders>
              <w:tl2br w:val="nil"/>
              <w:tr2bl w:val="nil"/>
            </w:tcBorders>
            <w:shd w:val="clear" w:color="auto" w:fill="auto"/>
            <w:noWrap/>
            <w:vAlign w:val="center"/>
          </w:tcPr>
          <w:p w14:paraId="11195A75"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100.00</w:t>
            </w:r>
          </w:p>
        </w:tc>
      </w:tr>
      <w:tr w:rsidR="005D0DF5" w:rsidRPr="005D0DF5" w14:paraId="2E6BF29A" w14:textId="77777777" w:rsidTr="00D72B9A">
        <w:trPr>
          <w:trHeight w:val="57"/>
          <w:jc w:val="center"/>
        </w:trPr>
        <w:tc>
          <w:tcPr>
            <w:tcW w:w="1717" w:type="dxa"/>
            <w:tcBorders>
              <w:tl2br w:val="nil"/>
              <w:tr2bl w:val="nil"/>
            </w:tcBorders>
            <w:shd w:val="clear" w:color="auto" w:fill="auto"/>
            <w:noWrap/>
            <w:vAlign w:val="center"/>
          </w:tcPr>
          <w:p w14:paraId="3BA88F19"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合计</w:t>
            </w:r>
          </w:p>
        </w:tc>
        <w:tc>
          <w:tcPr>
            <w:tcW w:w="1439" w:type="dxa"/>
            <w:tcBorders>
              <w:tl2br w:val="nil"/>
              <w:tr2bl w:val="nil"/>
            </w:tcBorders>
            <w:shd w:val="clear" w:color="auto" w:fill="auto"/>
            <w:noWrap/>
            <w:vAlign w:val="center"/>
          </w:tcPr>
          <w:p w14:paraId="4C868C12"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6,814.33</w:t>
            </w:r>
          </w:p>
        </w:tc>
        <w:tc>
          <w:tcPr>
            <w:tcW w:w="1238" w:type="dxa"/>
            <w:tcBorders>
              <w:tl2br w:val="nil"/>
              <w:tr2bl w:val="nil"/>
            </w:tcBorders>
            <w:shd w:val="clear" w:color="auto" w:fill="auto"/>
            <w:noWrap/>
            <w:vAlign w:val="center"/>
          </w:tcPr>
          <w:p w14:paraId="60B86E25"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 xml:space="preserve">6,333.02 </w:t>
            </w:r>
          </w:p>
        </w:tc>
        <w:tc>
          <w:tcPr>
            <w:tcW w:w="1121" w:type="dxa"/>
            <w:tcBorders>
              <w:tl2br w:val="nil"/>
              <w:tr2bl w:val="nil"/>
            </w:tcBorders>
            <w:shd w:val="clear" w:color="auto" w:fill="auto"/>
            <w:noWrap/>
            <w:vAlign w:val="center"/>
          </w:tcPr>
          <w:p w14:paraId="1E6678F4"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92.94</w:t>
            </w:r>
          </w:p>
        </w:tc>
        <w:tc>
          <w:tcPr>
            <w:tcW w:w="1531" w:type="dxa"/>
            <w:tcBorders>
              <w:tl2br w:val="nil"/>
              <w:tr2bl w:val="nil"/>
            </w:tcBorders>
            <w:shd w:val="clear" w:color="auto" w:fill="auto"/>
            <w:noWrap/>
            <w:vAlign w:val="center"/>
          </w:tcPr>
          <w:p w14:paraId="5C3AF79D"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8,370.43</w:t>
            </w:r>
          </w:p>
        </w:tc>
        <w:tc>
          <w:tcPr>
            <w:tcW w:w="1289" w:type="dxa"/>
            <w:tcBorders>
              <w:tl2br w:val="nil"/>
              <w:tr2bl w:val="nil"/>
            </w:tcBorders>
            <w:shd w:val="clear" w:color="auto" w:fill="auto"/>
            <w:noWrap/>
            <w:vAlign w:val="center"/>
          </w:tcPr>
          <w:p w14:paraId="5D3A2D1B"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7,914.56</w:t>
            </w:r>
          </w:p>
        </w:tc>
        <w:tc>
          <w:tcPr>
            <w:tcW w:w="978" w:type="dxa"/>
            <w:tcBorders>
              <w:tl2br w:val="nil"/>
              <w:tr2bl w:val="nil"/>
            </w:tcBorders>
            <w:shd w:val="clear" w:color="auto" w:fill="auto"/>
            <w:noWrap/>
            <w:vAlign w:val="center"/>
          </w:tcPr>
          <w:p w14:paraId="1BE1544E" w14:textId="77777777" w:rsidR="005D0DF5" w:rsidRPr="005D0DF5" w:rsidRDefault="005D0DF5" w:rsidP="005D0DF5">
            <w:pPr>
              <w:widowControl/>
              <w:adjustRightInd w:val="0"/>
              <w:snapToGrid w:val="0"/>
              <w:spacing w:line="560" w:lineRule="exact"/>
              <w:jc w:val="center"/>
              <w:rPr>
                <w:rFonts w:ascii="仿宋" w:eastAsia="仿宋" w:hAnsi="仿宋" w:cs="仿宋" w:hint="eastAsia"/>
                <w:color w:val="000000"/>
                <w:kern w:val="0"/>
                <w:sz w:val="24"/>
              </w:rPr>
            </w:pPr>
            <w:r w:rsidRPr="005D0DF5">
              <w:rPr>
                <w:rFonts w:ascii="仿宋" w:eastAsia="仿宋" w:hAnsi="仿宋" w:cs="仿宋" w:hint="eastAsia"/>
                <w:color w:val="000000"/>
                <w:kern w:val="0"/>
                <w:sz w:val="24"/>
              </w:rPr>
              <w:t>94.55</w:t>
            </w:r>
          </w:p>
        </w:tc>
      </w:tr>
    </w:tbl>
    <w:p w14:paraId="7E46D59C" w14:textId="77777777" w:rsidR="005D0DF5" w:rsidRPr="005D0DF5" w:rsidRDefault="005D0DF5" w:rsidP="005D0DF5">
      <w:pPr>
        <w:adjustRightInd w:val="0"/>
        <w:snapToGrid w:val="0"/>
        <w:spacing w:line="560" w:lineRule="exact"/>
        <w:rPr>
          <w:rFonts w:ascii="仿宋" w:eastAsia="仿宋" w:hAnsi="仿宋" w:cs="仿宋" w:hint="eastAsia"/>
          <w:sz w:val="32"/>
        </w:rPr>
      </w:pPr>
      <w:r w:rsidRPr="005D0DF5">
        <w:rPr>
          <w:rFonts w:ascii="仿宋" w:eastAsia="仿宋" w:hAnsi="仿宋" w:cs="仿宋" w:hint="eastAsia"/>
          <w:sz w:val="32"/>
        </w:rPr>
        <w:lastRenderedPageBreak/>
        <w:t>数据来源：各家机构自查报告、绿标委办公室整理</w:t>
      </w:r>
    </w:p>
    <w:p w14:paraId="7E7DAF70"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color w:val="000000"/>
          <w:sz w:val="32"/>
          <w:szCs w:val="32"/>
        </w:rPr>
      </w:pPr>
      <w:r w:rsidRPr="005D0DF5">
        <w:rPr>
          <w:rFonts w:ascii="仿宋" w:eastAsia="仿宋" w:hAnsi="仿宋" w:cs="仿宋" w:hint="eastAsia"/>
          <w:color w:val="000000"/>
          <w:sz w:val="32"/>
          <w:szCs w:val="32"/>
        </w:rPr>
        <w:t>2024年，</w:t>
      </w:r>
      <w:proofErr w:type="gramStart"/>
      <w:r w:rsidRPr="005D0DF5">
        <w:rPr>
          <w:rFonts w:ascii="仿宋" w:eastAsia="仿宋" w:hAnsi="仿宋" w:cs="仿宋" w:hint="eastAsia"/>
          <w:color w:val="000000"/>
          <w:sz w:val="32"/>
          <w:szCs w:val="32"/>
        </w:rPr>
        <w:t>我国绿债市场</w:t>
      </w:r>
      <w:proofErr w:type="gramEnd"/>
      <w:r w:rsidRPr="005D0DF5">
        <w:rPr>
          <w:rFonts w:ascii="仿宋" w:eastAsia="仿宋" w:hAnsi="仿宋" w:cs="仿宋" w:hint="eastAsia"/>
          <w:color w:val="000000"/>
          <w:sz w:val="32"/>
          <w:szCs w:val="32"/>
        </w:rPr>
        <w:t>共发行绿色债券477只，较上年有小幅增长，发行金额有所回落，但仍维持高位。按照产品类型来看，2024年绿色债务融资工具的新发行规模和评估认证规模均保持较高的增幅，绿色公司债（含企业债）和绿色</w:t>
      </w:r>
      <w:proofErr w:type="gramStart"/>
      <w:r w:rsidRPr="005D0DF5">
        <w:rPr>
          <w:rFonts w:ascii="仿宋" w:eastAsia="仿宋" w:hAnsi="仿宋" w:cs="仿宋" w:hint="eastAsia"/>
          <w:color w:val="000000"/>
          <w:sz w:val="32"/>
          <w:szCs w:val="32"/>
        </w:rPr>
        <w:t>金融债新发行</w:t>
      </w:r>
      <w:proofErr w:type="gramEnd"/>
      <w:r w:rsidRPr="005D0DF5">
        <w:rPr>
          <w:rFonts w:ascii="仿宋" w:eastAsia="仿宋" w:hAnsi="仿宋" w:cs="仿宋" w:hint="eastAsia"/>
          <w:color w:val="000000"/>
          <w:sz w:val="32"/>
          <w:szCs w:val="32"/>
        </w:rPr>
        <w:t>规模和评估认证规模存在一定比例的下滑。</w:t>
      </w:r>
    </w:p>
    <w:p w14:paraId="36C05FF0" w14:textId="77777777" w:rsidR="005D0DF5" w:rsidRPr="005D0DF5" w:rsidRDefault="005D0DF5" w:rsidP="005D0DF5">
      <w:pPr>
        <w:adjustRightInd w:val="0"/>
        <w:snapToGrid w:val="0"/>
        <w:spacing w:line="560" w:lineRule="exact"/>
        <w:ind w:firstLineChars="200" w:firstLine="643"/>
        <w:rPr>
          <w:rFonts w:ascii="仿宋" w:eastAsia="仿宋" w:hAnsi="仿宋" w:cs="仿宋" w:hint="eastAsia"/>
          <w:b/>
          <w:bCs/>
          <w:sz w:val="32"/>
          <w:szCs w:val="32"/>
        </w:rPr>
      </w:pPr>
      <w:r w:rsidRPr="005D0DF5">
        <w:rPr>
          <w:rFonts w:ascii="仿宋" w:eastAsia="仿宋" w:hAnsi="仿宋" w:cs="仿宋" w:hint="eastAsia"/>
          <w:b/>
          <w:bCs/>
          <w:sz w:val="32"/>
          <w:szCs w:val="32"/>
        </w:rPr>
        <w:t>（二）市场集中度进一步提高，头部业务量不断聚集</w:t>
      </w:r>
    </w:p>
    <w:p w14:paraId="0D2D4498"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在2024年开展评估认证业务并成功发行的12家机构中，联合赤道、中诚信绿金两家机构评估认证业务只数占比超</w:t>
      </w:r>
      <w:r w:rsidRPr="005D0DF5">
        <w:rPr>
          <w:rFonts w:ascii="仿宋" w:eastAsia="仿宋" w:hAnsi="仿宋" w:cs="仿宋"/>
          <w:sz w:val="32"/>
          <w:szCs w:val="32"/>
        </w:rPr>
        <w:t>八</w:t>
      </w:r>
      <w:r w:rsidRPr="005D0DF5">
        <w:rPr>
          <w:rFonts w:ascii="仿宋" w:eastAsia="仿宋" w:hAnsi="仿宋" w:cs="仿宋" w:hint="eastAsia"/>
          <w:sz w:val="32"/>
          <w:szCs w:val="32"/>
        </w:rPr>
        <w:t>成，规模占比接近九成，</w:t>
      </w:r>
      <w:proofErr w:type="gramStart"/>
      <w:r w:rsidRPr="005D0DF5">
        <w:rPr>
          <w:rFonts w:ascii="仿宋" w:eastAsia="仿宋" w:hAnsi="仿宋" w:cs="仿宋" w:hint="eastAsia"/>
          <w:sz w:val="32"/>
          <w:szCs w:val="32"/>
        </w:rPr>
        <w:t>绿债评估</w:t>
      </w:r>
      <w:proofErr w:type="gramEnd"/>
      <w:r w:rsidRPr="005D0DF5">
        <w:rPr>
          <w:rFonts w:ascii="仿宋" w:eastAsia="仿宋" w:hAnsi="仿宋" w:cs="仿宋" w:hint="eastAsia"/>
          <w:sz w:val="32"/>
          <w:szCs w:val="32"/>
        </w:rPr>
        <w:t>认证机构的头部集中度在2024年呈现出进一步集中的趋势。安永华明、中</w:t>
      </w:r>
      <w:proofErr w:type="gramStart"/>
      <w:r w:rsidRPr="005D0DF5">
        <w:rPr>
          <w:rFonts w:ascii="仿宋" w:eastAsia="仿宋" w:hAnsi="仿宋" w:cs="仿宋" w:hint="eastAsia"/>
          <w:sz w:val="32"/>
          <w:szCs w:val="32"/>
        </w:rPr>
        <w:t>证鹏元绿融等</w:t>
      </w:r>
      <w:proofErr w:type="gramEnd"/>
      <w:r w:rsidRPr="005D0DF5">
        <w:rPr>
          <w:rFonts w:ascii="仿宋" w:eastAsia="仿宋" w:hAnsi="仿宋" w:cs="仿宋" w:hint="eastAsia"/>
          <w:sz w:val="32"/>
          <w:szCs w:val="32"/>
        </w:rPr>
        <w:t>其余10家机构共计参与了69只，合计规模约772.78亿元。其他评估认证机构在市场中仍有较大的拓展空间和发展潜力，需要通过提升服务质量、扩大专业能力等方式来增强市场竞争力。</w:t>
      </w:r>
    </w:p>
    <w:p w14:paraId="1CAD3CDC" w14:textId="77777777" w:rsidR="005D0DF5" w:rsidRPr="005D0DF5" w:rsidRDefault="005D0DF5" w:rsidP="005D0DF5">
      <w:pPr>
        <w:adjustRightInd w:val="0"/>
        <w:snapToGrid w:val="0"/>
        <w:spacing w:line="560" w:lineRule="exact"/>
        <w:ind w:firstLineChars="200" w:firstLine="643"/>
        <w:rPr>
          <w:rFonts w:ascii="仿宋" w:eastAsia="仿宋" w:hAnsi="仿宋" w:cs="仿宋" w:hint="eastAsia"/>
          <w:b/>
          <w:bCs/>
          <w:sz w:val="32"/>
          <w:szCs w:val="32"/>
        </w:rPr>
      </w:pPr>
      <w:r w:rsidRPr="005D0DF5">
        <w:rPr>
          <w:rFonts w:ascii="仿宋" w:eastAsia="仿宋" w:hAnsi="仿宋" w:cs="仿宋" w:hint="eastAsia"/>
          <w:b/>
          <w:bCs/>
          <w:sz w:val="32"/>
          <w:szCs w:val="32"/>
        </w:rPr>
        <w:t>（三）评估机构业务开展有所分化，部分机构有待破冰</w:t>
      </w:r>
    </w:p>
    <w:p w14:paraId="3D047BE5" w14:textId="77777777" w:rsidR="005D0DF5" w:rsidRPr="005D0DF5" w:rsidRDefault="005D0DF5" w:rsidP="005D0DF5">
      <w:pPr>
        <w:widowControl/>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2024年度，联合赤道、中诚信绿金、中</w:t>
      </w:r>
      <w:proofErr w:type="gramStart"/>
      <w:r w:rsidRPr="005D0DF5">
        <w:rPr>
          <w:rFonts w:ascii="仿宋" w:eastAsia="仿宋" w:hAnsi="仿宋" w:cs="仿宋" w:hint="eastAsia"/>
          <w:sz w:val="32"/>
          <w:szCs w:val="32"/>
        </w:rPr>
        <w:t>证鹏元绿融等</w:t>
      </w:r>
      <w:proofErr w:type="gramEnd"/>
      <w:r w:rsidRPr="005D0DF5">
        <w:rPr>
          <w:rFonts w:ascii="仿宋" w:eastAsia="仿宋" w:hAnsi="仿宋" w:cs="仿宋" w:hint="eastAsia"/>
          <w:sz w:val="32"/>
          <w:szCs w:val="32"/>
        </w:rPr>
        <w:t>3家机构业务实现了境内绿色债券全品种覆盖，其余评估认证机构在擅长的业务领域展业情况更加明显。例如，经历筹备期后，远东资信围绕绿色公司债（含企业债），首次开展评估认证业务；安永华明、中节能</w:t>
      </w:r>
      <w:proofErr w:type="gramStart"/>
      <w:r w:rsidRPr="005D0DF5">
        <w:rPr>
          <w:rFonts w:ascii="仿宋" w:eastAsia="仿宋" w:hAnsi="仿宋" w:cs="仿宋" w:hint="eastAsia"/>
          <w:sz w:val="32"/>
          <w:szCs w:val="32"/>
        </w:rPr>
        <w:t>衡准业务</w:t>
      </w:r>
      <w:proofErr w:type="gramEnd"/>
      <w:r w:rsidRPr="005D0DF5">
        <w:rPr>
          <w:rFonts w:ascii="仿宋" w:eastAsia="仿宋" w:hAnsi="仿宋" w:cs="仿宋" w:hint="eastAsia"/>
          <w:sz w:val="32"/>
          <w:szCs w:val="32"/>
        </w:rPr>
        <w:t>开展主要聚焦绿色金融债领域；中债资信本年度评估认证业务集中在绿色债务融资工具领域。</w:t>
      </w:r>
    </w:p>
    <w:p w14:paraId="7011CDF7" w14:textId="77777777" w:rsidR="005D0DF5" w:rsidRPr="005D0DF5" w:rsidRDefault="005D0DF5" w:rsidP="005D0DF5">
      <w:pPr>
        <w:widowControl/>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lastRenderedPageBreak/>
        <w:t>本年度有4家评估认证机构无成功认证并发行的绿色债券项目，原因为部分评估认证机构主要围绕绿色信贷认证开展业务或存在已认证但本年度未发行的情况。</w:t>
      </w:r>
    </w:p>
    <w:p w14:paraId="76176B66" w14:textId="77777777" w:rsidR="005D0DF5" w:rsidRPr="005D0DF5" w:rsidRDefault="005D0DF5" w:rsidP="005D0DF5">
      <w:pPr>
        <w:adjustRightInd w:val="0"/>
        <w:snapToGrid w:val="0"/>
        <w:spacing w:line="560" w:lineRule="exact"/>
        <w:ind w:firstLineChars="200" w:firstLine="643"/>
        <w:rPr>
          <w:rFonts w:ascii="仿宋" w:eastAsia="仿宋" w:hAnsi="仿宋" w:cs="仿宋" w:hint="eastAsia"/>
          <w:b/>
          <w:bCs/>
          <w:sz w:val="32"/>
          <w:szCs w:val="32"/>
        </w:rPr>
      </w:pPr>
      <w:r w:rsidRPr="005D0DF5">
        <w:rPr>
          <w:rFonts w:ascii="仿宋" w:eastAsia="仿宋" w:hAnsi="仿宋" w:cs="仿宋" w:hint="eastAsia"/>
          <w:b/>
          <w:bCs/>
          <w:sz w:val="32"/>
          <w:szCs w:val="32"/>
        </w:rPr>
        <w:t>二、绿色债券评估认证机构内部建设和自律管理情况</w:t>
      </w:r>
    </w:p>
    <w:p w14:paraId="7B800CD4" w14:textId="77777777" w:rsidR="005D0DF5" w:rsidRPr="005D0DF5" w:rsidRDefault="005D0DF5" w:rsidP="005D0DF5">
      <w:pPr>
        <w:adjustRightInd w:val="0"/>
        <w:snapToGrid w:val="0"/>
        <w:spacing w:line="560" w:lineRule="exact"/>
        <w:ind w:firstLineChars="200" w:firstLine="643"/>
        <w:outlineLvl w:val="0"/>
        <w:rPr>
          <w:rFonts w:ascii="仿宋" w:eastAsia="仿宋" w:hAnsi="仿宋" w:cs="仿宋" w:hint="eastAsia"/>
          <w:b/>
          <w:bCs/>
          <w:sz w:val="32"/>
          <w:szCs w:val="32"/>
        </w:rPr>
      </w:pPr>
      <w:r w:rsidRPr="005D0DF5">
        <w:rPr>
          <w:rFonts w:ascii="仿宋" w:eastAsia="仿宋" w:hAnsi="仿宋" w:cs="仿宋" w:hint="eastAsia"/>
          <w:b/>
          <w:bCs/>
          <w:sz w:val="32"/>
          <w:szCs w:val="32"/>
        </w:rPr>
        <w:t>（一）制度建设不断加强，执业水平继续提升</w:t>
      </w:r>
    </w:p>
    <w:p w14:paraId="7A792D0E"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2024年，各评估认证机构新增执业资质5项</w:t>
      </w:r>
      <w:r w:rsidRPr="005D0DF5">
        <w:rPr>
          <w:rFonts w:ascii="仿宋" w:eastAsia="仿宋" w:hAnsi="仿宋" w:cs="仿宋" w:hint="eastAsia"/>
          <w:sz w:val="32"/>
          <w:szCs w:val="32"/>
          <w:vertAlign w:val="superscript"/>
        </w:rPr>
        <w:footnoteReference w:id="4"/>
      </w:r>
      <w:r w:rsidRPr="005D0DF5">
        <w:rPr>
          <w:rFonts w:ascii="仿宋" w:eastAsia="仿宋" w:hAnsi="仿宋" w:cs="仿宋" w:hint="eastAsia"/>
          <w:sz w:val="32"/>
          <w:szCs w:val="32"/>
        </w:rPr>
        <w:t>。全年绿色债券评估认证机构新制定3项制度，修订13项制度，优化5项内部流程，其中新制度主要包括绿色项目评估认证方法、工作底稿管理实施细则、项目</w:t>
      </w:r>
      <w:proofErr w:type="gramStart"/>
      <w:r w:rsidRPr="005D0DF5">
        <w:rPr>
          <w:rFonts w:ascii="仿宋" w:eastAsia="仿宋" w:hAnsi="仿宋" w:cs="仿宋" w:hint="eastAsia"/>
          <w:sz w:val="32"/>
          <w:szCs w:val="32"/>
        </w:rPr>
        <w:t>结项机制</w:t>
      </w:r>
      <w:proofErr w:type="gramEnd"/>
      <w:r w:rsidRPr="005D0DF5">
        <w:rPr>
          <w:rFonts w:ascii="仿宋" w:eastAsia="仿宋" w:hAnsi="仿宋" w:cs="仿宋" w:hint="eastAsia"/>
          <w:sz w:val="32"/>
          <w:szCs w:val="32"/>
        </w:rPr>
        <w:t>等从业务前段方法论，</w:t>
      </w:r>
      <w:proofErr w:type="gramStart"/>
      <w:r w:rsidRPr="005D0DF5">
        <w:rPr>
          <w:rFonts w:ascii="仿宋" w:eastAsia="仿宋" w:hAnsi="仿宋" w:cs="仿宋" w:hint="eastAsia"/>
          <w:sz w:val="32"/>
          <w:szCs w:val="32"/>
        </w:rPr>
        <w:t>到结项制度</w:t>
      </w:r>
      <w:proofErr w:type="gramEnd"/>
      <w:r w:rsidRPr="005D0DF5">
        <w:rPr>
          <w:rFonts w:ascii="仿宋" w:eastAsia="仿宋" w:hAnsi="仿宋" w:cs="仿宋" w:hint="eastAsia"/>
          <w:sz w:val="32"/>
          <w:szCs w:val="32"/>
        </w:rPr>
        <w:t>建设，底稿管理等合规制度；修订制度主要包括为配合沪深北交易所所修订的专项品种公司债券指引所做的对应修订，绿色资产支持证券评估认证方法的修订完善及业务质量管理、培训体系、防火墙制度等全流程管理制度；内部流程优化主要涉及内部业务分工的优化和标准作业流程的优化。</w:t>
      </w:r>
    </w:p>
    <w:p w14:paraId="15C25EA9" w14:textId="77777777" w:rsidR="005D0DF5" w:rsidRPr="005D0DF5" w:rsidRDefault="005D0DF5" w:rsidP="005D0DF5">
      <w:pPr>
        <w:adjustRightInd w:val="0"/>
        <w:snapToGrid w:val="0"/>
        <w:spacing w:line="560" w:lineRule="exact"/>
        <w:ind w:firstLineChars="200" w:firstLine="643"/>
        <w:rPr>
          <w:rFonts w:ascii="仿宋" w:eastAsia="仿宋" w:hAnsi="仿宋" w:cs="仿宋" w:hint="eastAsia"/>
          <w:b/>
          <w:bCs/>
          <w:sz w:val="32"/>
          <w:szCs w:val="32"/>
        </w:rPr>
      </w:pPr>
      <w:r w:rsidRPr="005D0DF5">
        <w:rPr>
          <w:rFonts w:ascii="仿宋" w:eastAsia="仿宋" w:hAnsi="仿宋" w:cs="仿宋" w:hint="eastAsia"/>
          <w:b/>
          <w:bCs/>
          <w:sz w:val="32"/>
          <w:szCs w:val="32"/>
        </w:rPr>
        <w:t>（二）业务人员保持动态稳定，专业人员占比逐年较高</w:t>
      </w:r>
    </w:p>
    <w:p w14:paraId="5CB63483"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截至2024年末，16家评估认证机构共有从事绿色债券评估认证业务人员</w:t>
      </w:r>
      <w:r w:rsidRPr="005D0DF5">
        <w:rPr>
          <w:rFonts w:ascii="仿宋" w:eastAsia="仿宋" w:hAnsi="仿宋" w:cs="仿宋" w:hint="eastAsia"/>
          <w:sz w:val="32"/>
          <w:szCs w:val="32"/>
          <w:vertAlign w:val="superscript"/>
        </w:rPr>
        <w:footnoteReference w:id="5"/>
      </w:r>
      <w:r w:rsidRPr="005D0DF5">
        <w:rPr>
          <w:rFonts w:ascii="仿宋" w:eastAsia="仿宋" w:hAnsi="仿宋" w:cs="仿宋" w:hint="eastAsia"/>
          <w:sz w:val="32"/>
          <w:szCs w:val="32"/>
        </w:rPr>
        <w:t>45</w:t>
      </w:r>
      <w:r w:rsidRPr="005D0DF5">
        <w:rPr>
          <w:rFonts w:ascii="仿宋" w:eastAsia="仿宋" w:hAnsi="仿宋" w:cs="仿宋"/>
          <w:sz w:val="32"/>
          <w:szCs w:val="32"/>
        </w:rPr>
        <w:t>8</w:t>
      </w:r>
      <w:r w:rsidRPr="005D0DF5">
        <w:rPr>
          <w:rFonts w:ascii="仿宋" w:eastAsia="仿宋" w:hAnsi="仿宋" w:cs="仿宋" w:hint="eastAsia"/>
          <w:sz w:val="32"/>
          <w:szCs w:val="32"/>
        </w:rPr>
        <w:t>名，其中，本年度新入职人员</w:t>
      </w:r>
      <w:r w:rsidRPr="005D0DF5">
        <w:rPr>
          <w:rFonts w:ascii="仿宋" w:eastAsia="仿宋" w:hAnsi="仿宋" w:cs="仿宋"/>
          <w:sz w:val="32"/>
          <w:szCs w:val="32"/>
        </w:rPr>
        <w:t>45</w:t>
      </w:r>
      <w:r w:rsidRPr="005D0DF5">
        <w:rPr>
          <w:rFonts w:ascii="仿宋" w:eastAsia="仿宋" w:hAnsi="仿宋" w:cs="仿宋" w:hint="eastAsia"/>
          <w:sz w:val="32"/>
          <w:szCs w:val="32"/>
        </w:rPr>
        <w:t>名，从业人员较上年的规模基本保持稳定。从专业人员占比来看，绝大部分机构专业人员占从业人员的比重达到80%以上，8家认证机构从业人员均为专业人员，专业人员</w:t>
      </w:r>
      <w:proofErr w:type="gramStart"/>
      <w:r w:rsidRPr="005D0DF5">
        <w:rPr>
          <w:rFonts w:ascii="仿宋" w:eastAsia="仿宋" w:hAnsi="仿宋" w:cs="仿宋" w:hint="eastAsia"/>
          <w:sz w:val="32"/>
          <w:szCs w:val="32"/>
        </w:rPr>
        <w:t>占比较</w:t>
      </w:r>
      <w:proofErr w:type="gramEnd"/>
      <w:r w:rsidRPr="005D0DF5">
        <w:rPr>
          <w:rFonts w:ascii="仿宋" w:eastAsia="仿宋" w:hAnsi="仿宋" w:cs="仿宋" w:hint="eastAsia"/>
          <w:sz w:val="32"/>
          <w:szCs w:val="32"/>
        </w:rPr>
        <w:t>上年有明显提高。高素质专业人员队伍为评估认证机构提供高质量发展提供有效支撑。</w:t>
      </w:r>
    </w:p>
    <w:p w14:paraId="55096B7E" w14:textId="77777777" w:rsidR="005D0DF5" w:rsidRPr="005D0DF5" w:rsidRDefault="005D0DF5" w:rsidP="005D0DF5">
      <w:pPr>
        <w:adjustRightInd w:val="0"/>
        <w:snapToGrid w:val="0"/>
        <w:spacing w:line="560" w:lineRule="exact"/>
        <w:ind w:firstLineChars="200" w:firstLine="643"/>
        <w:rPr>
          <w:rFonts w:ascii="仿宋" w:eastAsia="仿宋" w:hAnsi="仿宋" w:cs="仿宋" w:hint="eastAsia"/>
          <w:b/>
          <w:bCs/>
          <w:sz w:val="32"/>
          <w:szCs w:val="32"/>
        </w:rPr>
      </w:pPr>
      <w:r w:rsidRPr="005D0DF5">
        <w:rPr>
          <w:rFonts w:ascii="仿宋" w:eastAsia="仿宋" w:hAnsi="仿宋" w:cs="仿宋" w:hint="eastAsia"/>
          <w:b/>
          <w:bCs/>
          <w:sz w:val="32"/>
          <w:szCs w:val="32"/>
        </w:rPr>
        <w:lastRenderedPageBreak/>
        <w:t>三、2024年度评估认证机构工作亮点凸显</w:t>
      </w:r>
    </w:p>
    <w:p w14:paraId="656D9BCF"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2024年度，评估认证机构有序展业，把好绿债入口关，推动绿色债券市场高质量发展，</w:t>
      </w:r>
      <w:proofErr w:type="gramStart"/>
      <w:r w:rsidRPr="005D0DF5">
        <w:rPr>
          <w:rFonts w:ascii="仿宋" w:eastAsia="仿宋" w:hAnsi="仿宋" w:cs="仿宋" w:hint="eastAsia"/>
          <w:sz w:val="32"/>
          <w:szCs w:val="32"/>
        </w:rPr>
        <w:t>践行</w:t>
      </w:r>
      <w:proofErr w:type="gramEnd"/>
      <w:r w:rsidRPr="005D0DF5">
        <w:rPr>
          <w:rFonts w:ascii="仿宋" w:eastAsia="仿宋" w:hAnsi="仿宋" w:cs="仿宋" w:hint="eastAsia"/>
          <w:sz w:val="32"/>
          <w:szCs w:val="32"/>
        </w:rPr>
        <w:t>绿色发展理念，全力谱写绿色金融大文章。众多机构在市场中积极作为，面对挑战勇于创新，在多个关键领域成果丰硕，有力推动了绿色金融的发展进程。</w:t>
      </w:r>
    </w:p>
    <w:p w14:paraId="38FF48A3" w14:textId="77777777" w:rsidR="005D0DF5" w:rsidRPr="005D0DF5" w:rsidRDefault="005D0DF5" w:rsidP="005D0DF5">
      <w:pPr>
        <w:adjustRightInd w:val="0"/>
        <w:snapToGrid w:val="0"/>
        <w:spacing w:line="560" w:lineRule="exact"/>
        <w:ind w:firstLineChars="200" w:firstLine="643"/>
        <w:rPr>
          <w:rFonts w:ascii="仿宋" w:eastAsia="仿宋" w:hAnsi="仿宋" w:cs="仿宋" w:hint="eastAsia"/>
          <w:b/>
          <w:bCs/>
          <w:sz w:val="32"/>
          <w:szCs w:val="32"/>
        </w:rPr>
      </w:pPr>
      <w:r w:rsidRPr="005D0DF5">
        <w:rPr>
          <w:rFonts w:ascii="仿宋" w:eastAsia="仿宋" w:hAnsi="仿宋" w:cs="仿宋" w:hint="eastAsia"/>
          <w:b/>
          <w:bCs/>
          <w:sz w:val="32"/>
          <w:szCs w:val="32"/>
        </w:rPr>
        <w:t>（一）深度参与标准制定与研究，促进行业专业发展</w:t>
      </w:r>
    </w:p>
    <w:p w14:paraId="34927965"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部分机构积极投身绿色金融标准的制定与研究工作。部分机构为《绿色金融支持项目目录（2024年版）》编制提供技术支持，致力于统一绿色项目界定与统计标准。部分机构参与行业发展报告的编撰，为绿色债券市场的发展提供全面</w:t>
      </w:r>
      <w:proofErr w:type="gramStart"/>
      <w:r w:rsidRPr="005D0DF5">
        <w:rPr>
          <w:rFonts w:ascii="仿宋" w:eastAsia="仿宋" w:hAnsi="仿宋" w:cs="仿宋" w:hint="eastAsia"/>
          <w:sz w:val="32"/>
          <w:szCs w:val="32"/>
        </w:rPr>
        <w:t>且专业</w:t>
      </w:r>
      <w:proofErr w:type="gramEnd"/>
      <w:r w:rsidRPr="005D0DF5">
        <w:rPr>
          <w:rFonts w:ascii="仿宋" w:eastAsia="仿宋" w:hAnsi="仿宋" w:cs="仿宋" w:hint="eastAsia"/>
          <w:sz w:val="32"/>
          <w:szCs w:val="32"/>
        </w:rPr>
        <w:t>的参考依据。通过参与专业研究活动，机构内部从业人员的履职能力得到显著提升，同时也为整个绿色债券评估认证行业的专业化发展注入强大动力。</w:t>
      </w:r>
    </w:p>
    <w:p w14:paraId="7247EBE8" w14:textId="77777777" w:rsidR="005D0DF5" w:rsidRPr="005D0DF5" w:rsidRDefault="005D0DF5" w:rsidP="005D0DF5">
      <w:pPr>
        <w:adjustRightInd w:val="0"/>
        <w:snapToGrid w:val="0"/>
        <w:spacing w:line="560" w:lineRule="exact"/>
        <w:ind w:firstLineChars="200" w:firstLine="643"/>
        <w:rPr>
          <w:rFonts w:ascii="仿宋" w:eastAsia="仿宋" w:hAnsi="仿宋" w:cs="仿宋" w:hint="eastAsia"/>
          <w:b/>
          <w:bCs/>
          <w:sz w:val="32"/>
          <w:szCs w:val="32"/>
        </w:rPr>
      </w:pPr>
      <w:r w:rsidRPr="005D0DF5">
        <w:rPr>
          <w:rFonts w:ascii="仿宋" w:eastAsia="仿宋" w:hAnsi="仿宋" w:cs="仿宋" w:hint="eastAsia"/>
          <w:b/>
          <w:bCs/>
          <w:sz w:val="32"/>
          <w:szCs w:val="32"/>
        </w:rPr>
        <w:t>（二）拓展业务领域与合作，推动绿色金融理念传播</w:t>
      </w:r>
    </w:p>
    <w:p w14:paraId="4C3229C7"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在业务拓展和合作方面，不少机构成绩斐然。除传统绿色债券评估认证业务外，部分机构积极进军转型金融领域，在转型债券和转型贷款评估认证方面实现突破。各机构还通过多样化的活动大力推广绿色金融理念，如参加行业论坛、举办专题讲座等，有效</w:t>
      </w:r>
      <w:proofErr w:type="gramStart"/>
      <w:r w:rsidRPr="005D0DF5">
        <w:rPr>
          <w:rFonts w:ascii="仿宋" w:eastAsia="仿宋" w:hAnsi="仿宋" w:cs="仿宋" w:hint="eastAsia"/>
          <w:sz w:val="32"/>
          <w:szCs w:val="32"/>
        </w:rPr>
        <w:t>提升绿债市场</w:t>
      </w:r>
      <w:proofErr w:type="gramEnd"/>
      <w:r w:rsidRPr="005D0DF5">
        <w:rPr>
          <w:rFonts w:ascii="仿宋" w:eastAsia="仿宋" w:hAnsi="仿宋" w:cs="仿宋" w:hint="eastAsia"/>
          <w:sz w:val="32"/>
          <w:szCs w:val="32"/>
        </w:rPr>
        <w:t>的影响力，吸引更多市场参与者关注和投身绿色金融领域，促进绿色金融理念的广泛传播。</w:t>
      </w:r>
    </w:p>
    <w:p w14:paraId="3B7992EE" w14:textId="77777777" w:rsidR="005D0DF5" w:rsidRPr="005D0DF5" w:rsidRDefault="005D0DF5" w:rsidP="005D0DF5">
      <w:pPr>
        <w:adjustRightInd w:val="0"/>
        <w:snapToGrid w:val="0"/>
        <w:spacing w:line="560" w:lineRule="exact"/>
        <w:ind w:left="420" w:firstLineChars="60" w:firstLine="193"/>
        <w:rPr>
          <w:rFonts w:ascii="仿宋" w:eastAsia="仿宋" w:hAnsi="仿宋" w:cs="仿宋" w:hint="eastAsia"/>
          <w:b/>
          <w:bCs/>
          <w:sz w:val="32"/>
          <w:szCs w:val="32"/>
        </w:rPr>
      </w:pPr>
      <w:r w:rsidRPr="005D0DF5">
        <w:rPr>
          <w:rFonts w:ascii="仿宋" w:eastAsia="仿宋" w:hAnsi="仿宋" w:cs="仿宋" w:hint="eastAsia"/>
          <w:b/>
          <w:bCs/>
          <w:sz w:val="32"/>
          <w:szCs w:val="32"/>
        </w:rPr>
        <w:t>（三）助力绿色金融产品创新，服务国家战略目标</w:t>
      </w:r>
    </w:p>
    <w:p w14:paraId="420693EB"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众多机构积极助力绿色金融产品创新，紧密贴合国家战</w:t>
      </w:r>
      <w:r w:rsidRPr="005D0DF5">
        <w:rPr>
          <w:rFonts w:ascii="仿宋" w:eastAsia="仿宋" w:hAnsi="仿宋" w:cs="仿宋" w:hint="eastAsia"/>
          <w:sz w:val="32"/>
          <w:szCs w:val="32"/>
        </w:rPr>
        <w:lastRenderedPageBreak/>
        <w:t>略需求。部分机构助力发行了具有多重意义的绿色债券以及低碳转型挂钩债券等。部分机构完成多个市场首创的绿色债券评估认证项目，包括全国首支气候友好型绿色债券等。此类创新产品的涌现，为绿色产业开辟了更丰富的融资渠道，为国家绿色发展和</w:t>
      </w:r>
      <w:proofErr w:type="gramStart"/>
      <w:r w:rsidRPr="005D0DF5">
        <w:rPr>
          <w:rFonts w:ascii="仿宋" w:eastAsia="仿宋" w:hAnsi="仿宋" w:cs="仿宋" w:hint="eastAsia"/>
          <w:sz w:val="32"/>
          <w:szCs w:val="32"/>
        </w:rPr>
        <w:t>双碳战略</w:t>
      </w:r>
      <w:proofErr w:type="gramEnd"/>
      <w:r w:rsidRPr="005D0DF5">
        <w:rPr>
          <w:rFonts w:ascii="仿宋" w:eastAsia="仿宋" w:hAnsi="仿宋" w:cs="仿宋" w:hint="eastAsia"/>
          <w:sz w:val="32"/>
          <w:szCs w:val="32"/>
        </w:rPr>
        <w:t>目标的实现提供了有力支持。</w:t>
      </w:r>
    </w:p>
    <w:p w14:paraId="116587F3" w14:textId="77777777" w:rsidR="005D0DF5" w:rsidRPr="005D0DF5" w:rsidRDefault="005D0DF5" w:rsidP="005D0DF5">
      <w:pPr>
        <w:adjustRightInd w:val="0"/>
        <w:snapToGrid w:val="0"/>
        <w:spacing w:line="560" w:lineRule="exact"/>
        <w:ind w:firstLine="420"/>
        <w:rPr>
          <w:rFonts w:ascii="仿宋" w:eastAsia="仿宋" w:hAnsi="仿宋" w:cs="仿宋" w:hint="eastAsia"/>
          <w:b/>
          <w:bCs/>
          <w:sz w:val="32"/>
          <w:szCs w:val="32"/>
        </w:rPr>
      </w:pPr>
      <w:r w:rsidRPr="005D0DF5">
        <w:rPr>
          <w:rFonts w:ascii="仿宋" w:eastAsia="仿宋" w:hAnsi="仿宋" w:cs="仿宋" w:hint="eastAsia"/>
          <w:b/>
          <w:bCs/>
          <w:sz w:val="32"/>
          <w:szCs w:val="32"/>
        </w:rPr>
        <w:t>（四）完善内部制度并创新技术，夯实业务发展基础</w:t>
      </w:r>
    </w:p>
    <w:p w14:paraId="7F1D2621" w14:textId="77777777" w:rsidR="005D0DF5" w:rsidRPr="005D0DF5" w:rsidRDefault="005D0DF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2024年，诸多机构持续强化内部制度建设，大力开展数字科技研发。部分机构制定绿色债券评估认证项目工作底稿管理细则及</w:t>
      </w:r>
      <w:proofErr w:type="gramStart"/>
      <w:r w:rsidRPr="005D0DF5">
        <w:rPr>
          <w:rFonts w:ascii="仿宋" w:eastAsia="仿宋" w:hAnsi="仿宋" w:cs="仿宋" w:hint="eastAsia"/>
          <w:sz w:val="32"/>
          <w:szCs w:val="32"/>
        </w:rPr>
        <w:t>项目结项机制</w:t>
      </w:r>
      <w:proofErr w:type="gramEnd"/>
      <w:r w:rsidRPr="005D0DF5">
        <w:rPr>
          <w:rFonts w:ascii="仿宋" w:eastAsia="仿宋" w:hAnsi="仿宋" w:cs="仿宋" w:hint="eastAsia"/>
          <w:sz w:val="32"/>
          <w:szCs w:val="32"/>
        </w:rPr>
        <w:t>，从根本上规范了业务流程。部分机构完善可持续评估认证方法学，加强对绿色债券业务底稿和报告的规范管理。部分机构积极研发绿色数据平台，实现智能化服务，极大地提升了认证质量和效率，为业务的稳健、高效发展筑牢根基。</w:t>
      </w:r>
    </w:p>
    <w:p w14:paraId="3F5701B1" w14:textId="66CB8FD4" w:rsidR="00B56BEB" w:rsidRPr="005D0DF5" w:rsidRDefault="005D0DF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hint="eastAsia"/>
          <w:sz w:val="32"/>
          <w:szCs w:val="32"/>
        </w:rPr>
        <w:t>本次绿标委组织评估认证机构开展自查工作，是深入贯彻落实20号公告及检查工作规程等相关制度要求的重要举措，也是推动评估认证机构全面“体检”、提升执业质量的具体体现。通过此次自查，各机构充分展现了在绿色债券评估认证业务中的责任担当，进一步总结梳理实践经验，形成了多项具有示范意义的工作亮点和业务成果，行业整体专业能力与认证水平显著提升，有效推动了绿色债券市场的自律管理和规范发展。在自查过程中，部分机构暴露出从业人员执业规范性不强、项目操作流程不完善等问题，相关机构应高度重视，引以为戒，切实落实整改措施，持续提升评估认证业务的合</w:t>
      </w:r>
      <w:proofErr w:type="gramStart"/>
      <w:r w:rsidRPr="005D0DF5">
        <w:rPr>
          <w:rFonts w:ascii="仿宋" w:eastAsia="仿宋" w:hAnsi="仿宋" w:cs="仿宋" w:hint="eastAsia"/>
          <w:sz w:val="32"/>
          <w:szCs w:val="32"/>
        </w:rPr>
        <w:t>规</w:t>
      </w:r>
      <w:proofErr w:type="gramEnd"/>
      <w:r w:rsidRPr="005D0DF5">
        <w:rPr>
          <w:rFonts w:ascii="仿宋" w:eastAsia="仿宋" w:hAnsi="仿宋" w:cs="仿宋" w:hint="eastAsia"/>
          <w:sz w:val="32"/>
          <w:szCs w:val="32"/>
        </w:rPr>
        <w:t>性和专业性，严格依照20号公告及相关监管要</w:t>
      </w:r>
      <w:r w:rsidRPr="005D0DF5">
        <w:rPr>
          <w:rFonts w:ascii="仿宋" w:eastAsia="仿宋" w:hAnsi="仿宋" w:cs="仿宋" w:hint="eastAsia"/>
          <w:sz w:val="32"/>
          <w:szCs w:val="32"/>
        </w:rPr>
        <w:lastRenderedPageBreak/>
        <w:t>求开展业务。</w:t>
      </w:r>
      <w:r w:rsidR="008471B5" w:rsidRPr="005D0DF5">
        <w:rPr>
          <w:rFonts w:ascii="仿宋" w:eastAsia="仿宋" w:hAnsi="仿宋" w:cs="仿宋"/>
          <w:sz w:val="32"/>
          <w:szCs w:val="32"/>
        </w:rPr>
        <w:t>下一步，绿标委将继续加强自律管理，规范行业有序</w:t>
      </w:r>
      <w:r w:rsidR="008471B5" w:rsidRPr="005D0DF5">
        <w:rPr>
          <w:rFonts w:ascii="仿宋" w:eastAsia="仿宋" w:hAnsi="仿宋" w:cs="仿宋" w:hint="eastAsia"/>
          <w:sz w:val="32"/>
          <w:szCs w:val="32"/>
        </w:rPr>
        <w:t>开展</w:t>
      </w:r>
      <w:r w:rsidR="008471B5" w:rsidRPr="005D0DF5">
        <w:rPr>
          <w:rFonts w:ascii="仿宋" w:eastAsia="仿宋" w:hAnsi="仿宋" w:cs="仿宋"/>
          <w:sz w:val="32"/>
          <w:szCs w:val="32"/>
        </w:rPr>
        <w:t>竞争，</w:t>
      </w:r>
      <w:proofErr w:type="gramStart"/>
      <w:r w:rsidR="008471B5" w:rsidRPr="005D0DF5">
        <w:rPr>
          <w:rFonts w:ascii="仿宋" w:eastAsia="仿宋" w:hAnsi="仿宋" w:cs="仿宋"/>
          <w:sz w:val="32"/>
          <w:szCs w:val="32"/>
        </w:rPr>
        <w:t>推动绿债市场</w:t>
      </w:r>
      <w:proofErr w:type="gramEnd"/>
      <w:r w:rsidR="008471B5" w:rsidRPr="005D0DF5">
        <w:rPr>
          <w:rFonts w:ascii="仿宋" w:eastAsia="仿宋" w:hAnsi="仿宋" w:cs="仿宋"/>
          <w:sz w:val="32"/>
          <w:szCs w:val="32"/>
        </w:rPr>
        <w:t>高质量发展，</w:t>
      </w:r>
      <w:r w:rsidR="008471B5" w:rsidRPr="005D0DF5">
        <w:rPr>
          <w:rFonts w:ascii="仿宋" w:eastAsia="仿宋" w:hAnsi="仿宋" w:cs="仿宋" w:hint="eastAsia"/>
          <w:sz w:val="32"/>
          <w:szCs w:val="32"/>
        </w:rPr>
        <w:t>为</w:t>
      </w:r>
      <w:proofErr w:type="gramStart"/>
      <w:r w:rsidR="008471B5" w:rsidRPr="005D0DF5">
        <w:rPr>
          <w:rFonts w:ascii="仿宋" w:eastAsia="仿宋" w:hAnsi="仿宋" w:cs="仿宋" w:hint="eastAsia"/>
          <w:sz w:val="32"/>
          <w:szCs w:val="32"/>
        </w:rPr>
        <w:t>践行</w:t>
      </w:r>
      <w:proofErr w:type="gramEnd"/>
      <w:r w:rsidR="008471B5" w:rsidRPr="005D0DF5">
        <w:rPr>
          <w:rFonts w:ascii="仿宋" w:eastAsia="仿宋" w:hAnsi="仿宋" w:cs="仿宋" w:hint="eastAsia"/>
          <w:sz w:val="32"/>
          <w:szCs w:val="32"/>
        </w:rPr>
        <w:t>落实“五篇大文章”之绿色金融篇添砖加瓦</w:t>
      </w:r>
      <w:r w:rsidR="008471B5" w:rsidRPr="005D0DF5">
        <w:rPr>
          <w:rFonts w:ascii="仿宋" w:eastAsia="仿宋" w:hAnsi="仿宋" w:cs="仿宋"/>
          <w:sz w:val="32"/>
          <w:szCs w:val="32"/>
        </w:rPr>
        <w:t>。</w:t>
      </w:r>
    </w:p>
    <w:p w14:paraId="07E8C310" w14:textId="77777777" w:rsidR="00B56BEB" w:rsidRPr="005D0DF5" w:rsidRDefault="008471B5" w:rsidP="005D0DF5">
      <w:pPr>
        <w:adjustRightInd w:val="0"/>
        <w:snapToGrid w:val="0"/>
        <w:spacing w:line="560" w:lineRule="exact"/>
        <w:ind w:firstLineChars="200" w:firstLine="640"/>
        <w:rPr>
          <w:rFonts w:ascii="仿宋" w:eastAsia="仿宋" w:hAnsi="仿宋" w:cs="仿宋" w:hint="eastAsia"/>
          <w:sz w:val="32"/>
          <w:szCs w:val="32"/>
        </w:rPr>
      </w:pPr>
      <w:r w:rsidRPr="005D0DF5">
        <w:rPr>
          <w:rFonts w:ascii="仿宋" w:eastAsia="仿宋" w:hAnsi="仿宋" w:cs="仿宋"/>
          <w:sz w:val="32"/>
          <w:szCs w:val="32"/>
        </w:rPr>
        <w:t>特此通报。</w:t>
      </w:r>
    </w:p>
    <w:p w14:paraId="078FF589" w14:textId="77777777" w:rsidR="00B56BEB" w:rsidRDefault="00B56BEB">
      <w:pPr>
        <w:spacing w:line="560" w:lineRule="exact"/>
        <w:rPr>
          <w:rFonts w:ascii="仿宋_GB2312" w:eastAsia="仿宋_GB2312" w:hAnsi="宋体" w:hint="eastAsia"/>
          <w:sz w:val="30"/>
          <w:szCs w:val="30"/>
        </w:rPr>
      </w:pPr>
    </w:p>
    <w:sectPr w:rsidR="00B56BEB">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BD0D" w14:textId="77777777" w:rsidR="00695331" w:rsidRDefault="00695331">
      <w:r>
        <w:separator/>
      </w:r>
    </w:p>
  </w:endnote>
  <w:endnote w:type="continuationSeparator" w:id="0">
    <w:p w14:paraId="665F2635" w14:textId="77777777" w:rsidR="00695331" w:rsidRDefault="0069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7D80" w14:textId="6F91825C" w:rsidR="00B56BEB" w:rsidRDefault="008471B5">
    <w:pPr>
      <w:pStyle w:val="a9"/>
      <w:framePr w:wrap="around" w:vAnchor="text" w:hAnchor="margin" w:xAlign="center" w:y="1"/>
      <w:rPr>
        <w:rStyle w:val="af4"/>
      </w:rPr>
    </w:pPr>
    <w:r>
      <w:rPr>
        <w:rStyle w:val="af4"/>
      </w:rPr>
      <w:fldChar w:fldCharType="begin"/>
    </w:r>
    <w:r>
      <w:rPr>
        <w:rStyle w:val="af4"/>
      </w:rPr>
      <w:instrText xml:space="preserve">PAGE  </w:instrText>
    </w:r>
    <w:r w:rsidR="00D462A6">
      <w:rPr>
        <w:rStyle w:val="af4"/>
      </w:rPr>
      <w:fldChar w:fldCharType="separate"/>
    </w:r>
    <w:r w:rsidR="00D462A6">
      <w:rPr>
        <w:rStyle w:val="af4"/>
        <w:noProof/>
      </w:rPr>
      <w:t>1</w:t>
    </w:r>
    <w:r>
      <w:rPr>
        <w:rStyle w:val="af4"/>
      </w:rPr>
      <w:fldChar w:fldCharType="end"/>
    </w:r>
  </w:p>
  <w:p w14:paraId="296E680D" w14:textId="77777777" w:rsidR="00B56BEB" w:rsidRDefault="00B56BE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7ABE" w14:textId="77777777" w:rsidR="00B56BEB" w:rsidRDefault="008471B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5</w:t>
    </w:r>
    <w:r>
      <w:rPr>
        <w:rStyle w:val="af4"/>
      </w:rPr>
      <w:fldChar w:fldCharType="end"/>
    </w:r>
  </w:p>
  <w:p w14:paraId="539F9128" w14:textId="77777777" w:rsidR="00B56BEB" w:rsidRDefault="00B56B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5603" w14:textId="77777777" w:rsidR="00695331" w:rsidRDefault="00695331">
      <w:r>
        <w:separator/>
      </w:r>
    </w:p>
  </w:footnote>
  <w:footnote w:type="continuationSeparator" w:id="0">
    <w:p w14:paraId="600038A0" w14:textId="77777777" w:rsidR="00695331" w:rsidRDefault="00695331">
      <w:r>
        <w:continuationSeparator/>
      </w:r>
    </w:p>
  </w:footnote>
  <w:footnote w:id="1">
    <w:p w14:paraId="3971333E" w14:textId="77777777" w:rsidR="005D0DF5" w:rsidRPr="00D60D31" w:rsidRDefault="005D0DF5" w:rsidP="005D0DF5">
      <w:pPr>
        <w:rPr>
          <w:rFonts w:ascii="仿宋" w:eastAsia="仿宋" w:hAnsi="仿宋" w:hint="eastAsia"/>
        </w:rPr>
      </w:pPr>
      <w:r w:rsidRPr="00D60D31">
        <w:rPr>
          <w:rFonts w:ascii="仿宋" w:eastAsia="仿宋" w:hAnsi="仿宋"/>
          <w:vertAlign w:val="superscript"/>
        </w:rPr>
        <w:footnoteRef/>
      </w:r>
      <w:r w:rsidRPr="00D60D31">
        <w:rPr>
          <w:rFonts w:ascii="仿宋" w:eastAsia="仿宋" w:hAnsi="仿宋"/>
        </w:rPr>
        <w:t xml:space="preserve"> </w:t>
      </w:r>
      <w:r w:rsidRPr="00D60D31">
        <w:rPr>
          <w:rFonts w:ascii="仿宋" w:eastAsia="仿宋" w:hAnsi="仿宋" w:hint="eastAsia"/>
          <w:sz w:val="18"/>
          <w:szCs w:val="18"/>
        </w:rPr>
        <w:t>统计范围包括联合赤道环境评价股份有限公司（简称联合赤道）、中诚信绿金科技（北京）有限公司（简称中诚信绿金）、安永华明会计师事务所（特殊普通合伙）（简称安永华明）、远东资信评估有限公司（简称远东资信）、东方金诚信用管理（北京）有限公司（简称东方金诚信用）、</w:t>
      </w:r>
      <w:proofErr w:type="gramStart"/>
      <w:r w:rsidRPr="00D60D31">
        <w:rPr>
          <w:rFonts w:ascii="仿宋" w:eastAsia="仿宋" w:hAnsi="仿宋" w:hint="eastAsia"/>
          <w:sz w:val="18"/>
          <w:szCs w:val="18"/>
        </w:rPr>
        <w:t>中证鹏元</w:t>
      </w:r>
      <w:proofErr w:type="gramEnd"/>
      <w:r w:rsidRPr="00D60D31">
        <w:rPr>
          <w:rFonts w:ascii="仿宋" w:eastAsia="仿宋" w:hAnsi="仿宋" w:hint="eastAsia"/>
          <w:sz w:val="18"/>
          <w:szCs w:val="18"/>
        </w:rPr>
        <w:t>绿融（深圳）科技有限公司（简称</w:t>
      </w:r>
      <w:proofErr w:type="gramStart"/>
      <w:r w:rsidRPr="00D60D31">
        <w:rPr>
          <w:rFonts w:ascii="仿宋" w:eastAsia="仿宋" w:hAnsi="仿宋" w:hint="eastAsia"/>
          <w:sz w:val="18"/>
          <w:szCs w:val="18"/>
        </w:rPr>
        <w:t>中证鹏元</w:t>
      </w:r>
      <w:proofErr w:type="gramEnd"/>
      <w:r w:rsidRPr="00D60D31">
        <w:rPr>
          <w:rFonts w:ascii="仿宋" w:eastAsia="仿宋" w:hAnsi="仿宋" w:hint="eastAsia"/>
          <w:sz w:val="18"/>
          <w:szCs w:val="18"/>
        </w:rPr>
        <w:t>绿融）、绿融（北京）投资服务有限公司（</w:t>
      </w:r>
      <w:proofErr w:type="gramStart"/>
      <w:r w:rsidRPr="00D60D31">
        <w:rPr>
          <w:rFonts w:ascii="仿宋" w:eastAsia="仿宋" w:hAnsi="仿宋" w:hint="eastAsia"/>
          <w:sz w:val="18"/>
          <w:szCs w:val="18"/>
        </w:rPr>
        <w:t>简称绿融投资</w:t>
      </w:r>
      <w:proofErr w:type="gramEnd"/>
      <w:r w:rsidRPr="00D60D31">
        <w:rPr>
          <w:rFonts w:ascii="仿宋" w:eastAsia="仿宋" w:hAnsi="仿宋" w:hint="eastAsia"/>
          <w:sz w:val="18"/>
          <w:szCs w:val="18"/>
        </w:rPr>
        <w:t>）、中节能</w:t>
      </w:r>
      <w:proofErr w:type="gramStart"/>
      <w:r w:rsidRPr="00D60D31">
        <w:rPr>
          <w:rFonts w:ascii="仿宋" w:eastAsia="仿宋" w:hAnsi="仿宋" w:hint="eastAsia"/>
          <w:sz w:val="18"/>
          <w:szCs w:val="18"/>
        </w:rPr>
        <w:t>衡准科技</w:t>
      </w:r>
      <w:proofErr w:type="gramEnd"/>
      <w:r w:rsidRPr="00D60D31">
        <w:rPr>
          <w:rFonts w:ascii="仿宋" w:eastAsia="仿宋" w:hAnsi="仿宋" w:hint="eastAsia"/>
          <w:sz w:val="18"/>
          <w:szCs w:val="18"/>
        </w:rPr>
        <w:t>服务（北京）有限公司（简称中节能衡准）、中债资信评估有限责任公司（简称中债资信）、上海新世纪资信评估投资服务有限公司（简称新世纪评级）、中国</w:t>
      </w:r>
      <w:proofErr w:type="gramStart"/>
      <w:r w:rsidRPr="00D60D31">
        <w:rPr>
          <w:rFonts w:ascii="仿宋" w:eastAsia="仿宋" w:hAnsi="仿宋" w:hint="eastAsia"/>
          <w:sz w:val="18"/>
          <w:szCs w:val="18"/>
        </w:rPr>
        <w:t>国</w:t>
      </w:r>
      <w:proofErr w:type="gramEnd"/>
      <w:r w:rsidRPr="00D60D31">
        <w:rPr>
          <w:rFonts w:ascii="仿宋" w:eastAsia="仿宋" w:hAnsi="仿宋" w:hint="eastAsia"/>
          <w:sz w:val="18"/>
          <w:szCs w:val="18"/>
        </w:rPr>
        <w:t>检测试控股集团股份有限公司（简称国检集团）、北京中财绿融咨询有限公司（简称中</w:t>
      </w:r>
      <w:proofErr w:type="gramStart"/>
      <w:r w:rsidRPr="00D60D31">
        <w:rPr>
          <w:rFonts w:ascii="仿宋" w:eastAsia="仿宋" w:hAnsi="仿宋" w:hint="eastAsia"/>
          <w:sz w:val="18"/>
          <w:szCs w:val="18"/>
        </w:rPr>
        <w:t>财绿融</w:t>
      </w:r>
      <w:proofErr w:type="gramEnd"/>
      <w:r w:rsidRPr="00D60D31">
        <w:rPr>
          <w:rFonts w:ascii="仿宋" w:eastAsia="仿宋" w:hAnsi="仿宋" w:hint="eastAsia"/>
          <w:sz w:val="18"/>
          <w:szCs w:val="18"/>
        </w:rPr>
        <w:t>）、中国质量认证中心（简称中国质量认证中心）、安融征信有限公司（简称安融征信）、北京商道融绿咨询有限公司（简称商道融绿）、大公低碳科技（北京）有限公司（简称大公低碳）。另外，由于内外部因素，2家绿色债券市场评估认证机构未纳入本次自查。</w:t>
      </w:r>
    </w:p>
  </w:footnote>
  <w:footnote w:id="2">
    <w:p w14:paraId="46C79628" w14:textId="77777777" w:rsidR="005D0DF5" w:rsidRPr="00D60D31" w:rsidRDefault="005D0DF5" w:rsidP="005D0DF5">
      <w:pPr>
        <w:snapToGrid w:val="0"/>
        <w:jc w:val="left"/>
        <w:rPr>
          <w:rFonts w:ascii="仿宋" w:eastAsia="仿宋" w:hAnsi="仿宋" w:hint="eastAsia"/>
          <w:sz w:val="18"/>
          <w:szCs w:val="18"/>
        </w:rPr>
      </w:pPr>
      <w:r w:rsidRPr="00D60D31">
        <w:rPr>
          <w:rFonts w:ascii="仿宋" w:eastAsia="仿宋" w:hAnsi="仿宋"/>
          <w:vertAlign w:val="superscript"/>
        </w:rPr>
        <w:footnoteRef/>
      </w:r>
      <w:r w:rsidRPr="00D60D31">
        <w:rPr>
          <w:rFonts w:ascii="仿宋" w:eastAsia="仿宋" w:hAnsi="仿宋"/>
          <w:sz w:val="18"/>
          <w:szCs w:val="18"/>
        </w:rPr>
        <w:t xml:space="preserve"> </w:t>
      </w:r>
      <w:r w:rsidRPr="00D60D31">
        <w:rPr>
          <w:rFonts w:ascii="仿宋" w:eastAsia="仿宋" w:hAnsi="仿宋" w:hint="eastAsia"/>
          <w:sz w:val="18"/>
          <w:szCs w:val="18"/>
        </w:rPr>
        <w:t>如无特殊说明，相关数据来源于各评估认证机构自查报告，并经公开市场数据和评估认证机构核对调整。</w:t>
      </w:r>
    </w:p>
  </w:footnote>
  <w:footnote w:id="3">
    <w:p w14:paraId="71D8650E" w14:textId="77777777" w:rsidR="005D0DF5" w:rsidRDefault="005D0DF5" w:rsidP="005D0DF5">
      <w:pPr>
        <w:snapToGrid w:val="0"/>
        <w:jc w:val="left"/>
        <w:rPr>
          <w:rFonts w:ascii="Calibri" w:hAnsi="Calibri"/>
          <w:sz w:val="18"/>
          <w:szCs w:val="18"/>
        </w:rPr>
      </w:pPr>
      <w:r w:rsidRPr="00D60D31">
        <w:rPr>
          <w:rFonts w:ascii="仿宋" w:eastAsia="仿宋" w:hAnsi="仿宋"/>
          <w:vertAlign w:val="superscript"/>
        </w:rPr>
        <w:footnoteRef/>
      </w:r>
      <w:r w:rsidRPr="00D60D31">
        <w:rPr>
          <w:rFonts w:ascii="仿宋" w:eastAsia="仿宋" w:hAnsi="仿宋"/>
          <w:sz w:val="18"/>
          <w:szCs w:val="18"/>
        </w:rPr>
        <w:t xml:space="preserve"> 2023</w:t>
      </w:r>
      <w:r w:rsidRPr="00D60D31">
        <w:rPr>
          <w:rFonts w:ascii="仿宋" w:eastAsia="仿宋" w:hAnsi="仿宋" w:hint="eastAsia"/>
          <w:sz w:val="18"/>
          <w:szCs w:val="18"/>
        </w:rPr>
        <w:t>年</w:t>
      </w:r>
      <w:r w:rsidRPr="00D60D31">
        <w:rPr>
          <w:rFonts w:ascii="仿宋" w:eastAsia="仿宋" w:hAnsi="仿宋"/>
          <w:sz w:val="18"/>
          <w:szCs w:val="18"/>
        </w:rPr>
        <w:t>10</w:t>
      </w:r>
      <w:r w:rsidRPr="00D60D31">
        <w:rPr>
          <w:rFonts w:ascii="仿宋" w:eastAsia="仿宋" w:hAnsi="仿宋" w:hint="eastAsia"/>
          <w:sz w:val="18"/>
          <w:szCs w:val="18"/>
        </w:rPr>
        <w:t>月</w:t>
      </w:r>
      <w:r w:rsidRPr="00D60D31">
        <w:rPr>
          <w:rFonts w:ascii="仿宋" w:eastAsia="仿宋" w:hAnsi="仿宋"/>
          <w:sz w:val="18"/>
          <w:szCs w:val="18"/>
        </w:rPr>
        <w:t>20</w:t>
      </w:r>
      <w:r w:rsidRPr="00D60D31">
        <w:rPr>
          <w:rFonts w:ascii="仿宋" w:eastAsia="仿宋" w:hAnsi="仿宋" w:hint="eastAsia"/>
          <w:sz w:val="18"/>
          <w:szCs w:val="18"/>
        </w:rPr>
        <w:t>日，为贯彻落实党中央、国务院关于机构改革的决策部署，根据中国证监会发布实施《公司债券发行与交易管理办法》</w:t>
      </w:r>
      <w:r w:rsidRPr="00D60D31">
        <w:rPr>
          <w:rFonts w:ascii="仿宋" w:eastAsia="仿宋" w:hAnsi="仿宋"/>
          <w:sz w:val="18"/>
          <w:szCs w:val="18"/>
        </w:rPr>
        <w:t>(</w:t>
      </w:r>
      <w:r w:rsidRPr="00D60D31">
        <w:rPr>
          <w:rFonts w:ascii="仿宋" w:eastAsia="仿宋" w:hAnsi="仿宋" w:hint="eastAsia"/>
          <w:sz w:val="18"/>
          <w:szCs w:val="18"/>
        </w:rPr>
        <w:t>以下简称《管理办法》</w:t>
      </w:r>
      <w:r w:rsidRPr="00D60D31">
        <w:rPr>
          <w:rFonts w:ascii="仿宋" w:eastAsia="仿宋" w:hAnsi="仿宋"/>
          <w:sz w:val="18"/>
          <w:szCs w:val="18"/>
        </w:rPr>
        <w:t>)</w:t>
      </w:r>
      <w:r w:rsidRPr="00D60D31">
        <w:rPr>
          <w:rFonts w:ascii="仿宋" w:eastAsia="仿宋" w:hAnsi="仿宋" w:hint="eastAsia"/>
          <w:sz w:val="18"/>
          <w:szCs w:val="18"/>
        </w:rPr>
        <w:t>，将企业债券纳入《管理办法》规制范围，更好促进公司债券和企业债券协同发展，因此，2024年度统计口径较上年有所调整。</w:t>
      </w:r>
    </w:p>
  </w:footnote>
  <w:footnote w:id="4">
    <w:p w14:paraId="15A9B2D7" w14:textId="77777777" w:rsidR="005D0DF5" w:rsidRPr="00D60D31" w:rsidRDefault="005D0DF5" w:rsidP="005D0DF5">
      <w:pPr>
        <w:snapToGrid w:val="0"/>
        <w:jc w:val="left"/>
        <w:rPr>
          <w:rFonts w:ascii="仿宋" w:eastAsia="仿宋" w:hAnsi="仿宋" w:hint="eastAsia"/>
          <w:sz w:val="18"/>
          <w:szCs w:val="18"/>
        </w:rPr>
      </w:pPr>
      <w:r w:rsidRPr="00D60D31">
        <w:rPr>
          <w:rFonts w:ascii="仿宋" w:eastAsia="仿宋" w:hAnsi="仿宋"/>
          <w:vertAlign w:val="superscript"/>
        </w:rPr>
        <w:footnoteRef/>
      </w:r>
      <w:r w:rsidRPr="00D60D31">
        <w:rPr>
          <w:rFonts w:ascii="仿宋" w:eastAsia="仿宋" w:hAnsi="仿宋"/>
          <w:sz w:val="18"/>
          <w:szCs w:val="18"/>
        </w:rPr>
        <w:t xml:space="preserve"> </w:t>
      </w:r>
      <w:r w:rsidRPr="00D60D31">
        <w:rPr>
          <w:rFonts w:ascii="仿宋" w:eastAsia="仿宋" w:hAnsi="仿宋" w:hint="eastAsia"/>
          <w:sz w:val="18"/>
          <w:szCs w:val="18"/>
        </w:rPr>
        <w:t>另外，部分机构于2025年年</w:t>
      </w:r>
      <w:proofErr w:type="gramStart"/>
      <w:r w:rsidRPr="00D60D31">
        <w:rPr>
          <w:rFonts w:ascii="仿宋" w:eastAsia="仿宋" w:hAnsi="仿宋" w:hint="eastAsia"/>
          <w:sz w:val="18"/>
          <w:szCs w:val="18"/>
        </w:rPr>
        <w:t>初获得</w:t>
      </w:r>
      <w:proofErr w:type="gramEnd"/>
      <w:r w:rsidRPr="00D60D31">
        <w:rPr>
          <w:rFonts w:ascii="仿宋" w:eastAsia="仿宋" w:hAnsi="仿宋" w:hint="eastAsia"/>
          <w:sz w:val="18"/>
          <w:szCs w:val="18"/>
        </w:rPr>
        <w:t>了国际资本市场协会的相关资质</w:t>
      </w:r>
    </w:p>
  </w:footnote>
  <w:footnote w:id="5">
    <w:p w14:paraId="2A3E932F" w14:textId="77777777" w:rsidR="005D0DF5" w:rsidRDefault="005D0DF5" w:rsidP="005D0DF5">
      <w:pPr>
        <w:snapToGrid w:val="0"/>
        <w:jc w:val="left"/>
        <w:rPr>
          <w:rFonts w:ascii="Calibri" w:eastAsia="仿宋_GB2312" w:hAnsi="Calibri"/>
          <w:sz w:val="18"/>
          <w:szCs w:val="18"/>
        </w:rPr>
      </w:pPr>
      <w:r w:rsidRPr="00D60D31">
        <w:rPr>
          <w:rFonts w:ascii="仿宋" w:eastAsia="仿宋" w:hAnsi="仿宋"/>
          <w:vertAlign w:val="superscript"/>
        </w:rPr>
        <w:footnoteRef/>
      </w:r>
      <w:r w:rsidRPr="00D60D31">
        <w:rPr>
          <w:rFonts w:ascii="仿宋" w:eastAsia="仿宋" w:hAnsi="仿宋"/>
          <w:sz w:val="18"/>
          <w:szCs w:val="18"/>
        </w:rPr>
        <w:t xml:space="preserve"> </w:t>
      </w:r>
      <w:r w:rsidRPr="00D60D31">
        <w:rPr>
          <w:rFonts w:ascii="仿宋" w:eastAsia="仿宋" w:hAnsi="仿宋" w:hint="eastAsia"/>
          <w:sz w:val="18"/>
          <w:szCs w:val="18"/>
        </w:rPr>
        <w:t>测算基数较上年剔除了本年未纳入自查范围的两家评估认证机构的情况，该部分人员同时</w:t>
      </w:r>
      <w:proofErr w:type="gramStart"/>
      <w:r w:rsidRPr="00D60D31">
        <w:rPr>
          <w:rFonts w:ascii="仿宋" w:eastAsia="仿宋" w:hAnsi="仿宋" w:hint="eastAsia"/>
          <w:sz w:val="18"/>
          <w:szCs w:val="18"/>
        </w:rPr>
        <w:t>从事跟</w:t>
      </w:r>
      <w:proofErr w:type="gramEnd"/>
      <w:r w:rsidRPr="00D60D31">
        <w:rPr>
          <w:rFonts w:ascii="仿宋" w:eastAsia="仿宋" w:hAnsi="仿宋" w:hint="eastAsia"/>
          <w:sz w:val="18"/>
          <w:szCs w:val="18"/>
        </w:rPr>
        <w:t>绿色金融等有关工作。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3ZTNmMGQyYWNmOGU1MDhlNDA5ZmI3NGQ5MjdlMWMifQ=="/>
  </w:docVars>
  <w:rsids>
    <w:rsidRoot w:val="006C6B78"/>
    <w:rsid w:val="00000536"/>
    <w:rsid w:val="000015DF"/>
    <w:rsid w:val="00002584"/>
    <w:rsid w:val="00004187"/>
    <w:rsid w:val="000048DE"/>
    <w:rsid w:val="00005BD7"/>
    <w:rsid w:val="000079EF"/>
    <w:rsid w:val="00012CD5"/>
    <w:rsid w:val="000137F5"/>
    <w:rsid w:val="000148B8"/>
    <w:rsid w:val="0001549B"/>
    <w:rsid w:val="00015B5A"/>
    <w:rsid w:val="0001657A"/>
    <w:rsid w:val="00017EFE"/>
    <w:rsid w:val="00020938"/>
    <w:rsid w:val="000211EE"/>
    <w:rsid w:val="0002378D"/>
    <w:rsid w:val="00023D0E"/>
    <w:rsid w:val="00025CCC"/>
    <w:rsid w:val="00026ED2"/>
    <w:rsid w:val="00031819"/>
    <w:rsid w:val="00031D6D"/>
    <w:rsid w:val="00032978"/>
    <w:rsid w:val="00034456"/>
    <w:rsid w:val="00035CCF"/>
    <w:rsid w:val="00035FF8"/>
    <w:rsid w:val="0003736A"/>
    <w:rsid w:val="0004271C"/>
    <w:rsid w:val="00044A8C"/>
    <w:rsid w:val="00044CB9"/>
    <w:rsid w:val="000504D1"/>
    <w:rsid w:val="0005051C"/>
    <w:rsid w:val="000533D6"/>
    <w:rsid w:val="00053F7E"/>
    <w:rsid w:val="00055B01"/>
    <w:rsid w:val="00056973"/>
    <w:rsid w:val="000603C0"/>
    <w:rsid w:val="0006242C"/>
    <w:rsid w:val="0006258E"/>
    <w:rsid w:val="00064559"/>
    <w:rsid w:val="0006588D"/>
    <w:rsid w:val="00067A23"/>
    <w:rsid w:val="00070998"/>
    <w:rsid w:val="00071745"/>
    <w:rsid w:val="00071800"/>
    <w:rsid w:val="0007206B"/>
    <w:rsid w:val="00072697"/>
    <w:rsid w:val="00072E55"/>
    <w:rsid w:val="00073035"/>
    <w:rsid w:val="0007343C"/>
    <w:rsid w:val="00073713"/>
    <w:rsid w:val="0007417B"/>
    <w:rsid w:val="00075683"/>
    <w:rsid w:val="0007696D"/>
    <w:rsid w:val="00076974"/>
    <w:rsid w:val="00081807"/>
    <w:rsid w:val="00081982"/>
    <w:rsid w:val="00082191"/>
    <w:rsid w:val="00082B87"/>
    <w:rsid w:val="00084513"/>
    <w:rsid w:val="00085CF3"/>
    <w:rsid w:val="000862B1"/>
    <w:rsid w:val="000902F9"/>
    <w:rsid w:val="00090ABF"/>
    <w:rsid w:val="00091B12"/>
    <w:rsid w:val="00091C84"/>
    <w:rsid w:val="00092B46"/>
    <w:rsid w:val="00092EE6"/>
    <w:rsid w:val="000950AC"/>
    <w:rsid w:val="0009523C"/>
    <w:rsid w:val="000A0734"/>
    <w:rsid w:val="000A1157"/>
    <w:rsid w:val="000A1311"/>
    <w:rsid w:val="000A2DFF"/>
    <w:rsid w:val="000A3A4C"/>
    <w:rsid w:val="000A49B5"/>
    <w:rsid w:val="000A4B5C"/>
    <w:rsid w:val="000A67E9"/>
    <w:rsid w:val="000A7D95"/>
    <w:rsid w:val="000B07A0"/>
    <w:rsid w:val="000B170E"/>
    <w:rsid w:val="000B1AFC"/>
    <w:rsid w:val="000B2A42"/>
    <w:rsid w:val="000B352B"/>
    <w:rsid w:val="000B3A27"/>
    <w:rsid w:val="000B49BE"/>
    <w:rsid w:val="000B506C"/>
    <w:rsid w:val="000B5D6E"/>
    <w:rsid w:val="000B6059"/>
    <w:rsid w:val="000B6992"/>
    <w:rsid w:val="000B7436"/>
    <w:rsid w:val="000C0101"/>
    <w:rsid w:val="000C1E94"/>
    <w:rsid w:val="000C6741"/>
    <w:rsid w:val="000C7933"/>
    <w:rsid w:val="000D153C"/>
    <w:rsid w:val="000D312A"/>
    <w:rsid w:val="000D3424"/>
    <w:rsid w:val="000D43A1"/>
    <w:rsid w:val="000D5DAF"/>
    <w:rsid w:val="000D6722"/>
    <w:rsid w:val="000D7EEE"/>
    <w:rsid w:val="000E13B8"/>
    <w:rsid w:val="000E3043"/>
    <w:rsid w:val="000E4284"/>
    <w:rsid w:val="000E4C15"/>
    <w:rsid w:val="000E5A63"/>
    <w:rsid w:val="000E67D0"/>
    <w:rsid w:val="000F2A6C"/>
    <w:rsid w:val="000F3617"/>
    <w:rsid w:val="000F3F1D"/>
    <w:rsid w:val="000F5A9B"/>
    <w:rsid w:val="000F609C"/>
    <w:rsid w:val="000F61EE"/>
    <w:rsid w:val="000F63B6"/>
    <w:rsid w:val="000F69B2"/>
    <w:rsid w:val="00100C6C"/>
    <w:rsid w:val="001014E0"/>
    <w:rsid w:val="00101691"/>
    <w:rsid w:val="00102B8A"/>
    <w:rsid w:val="0010450E"/>
    <w:rsid w:val="00105C13"/>
    <w:rsid w:val="00111865"/>
    <w:rsid w:val="0011272E"/>
    <w:rsid w:val="00116409"/>
    <w:rsid w:val="001169E5"/>
    <w:rsid w:val="00116AA3"/>
    <w:rsid w:val="0011726C"/>
    <w:rsid w:val="00117E54"/>
    <w:rsid w:val="0012204A"/>
    <w:rsid w:val="001260F6"/>
    <w:rsid w:val="0012731B"/>
    <w:rsid w:val="001308DF"/>
    <w:rsid w:val="001312C1"/>
    <w:rsid w:val="001333A2"/>
    <w:rsid w:val="00133A70"/>
    <w:rsid w:val="0013450C"/>
    <w:rsid w:val="00135A42"/>
    <w:rsid w:val="00136A66"/>
    <w:rsid w:val="00140956"/>
    <w:rsid w:val="001412D9"/>
    <w:rsid w:val="00141993"/>
    <w:rsid w:val="001420FB"/>
    <w:rsid w:val="001474FB"/>
    <w:rsid w:val="00147AD2"/>
    <w:rsid w:val="001524DB"/>
    <w:rsid w:val="00152F6F"/>
    <w:rsid w:val="00153533"/>
    <w:rsid w:val="00153DA3"/>
    <w:rsid w:val="001541D3"/>
    <w:rsid w:val="001544D4"/>
    <w:rsid w:val="00155092"/>
    <w:rsid w:val="00155319"/>
    <w:rsid w:val="00155FF7"/>
    <w:rsid w:val="0015603F"/>
    <w:rsid w:val="00156DDA"/>
    <w:rsid w:val="00160636"/>
    <w:rsid w:val="001613A1"/>
    <w:rsid w:val="0016143B"/>
    <w:rsid w:val="00161682"/>
    <w:rsid w:val="001634B0"/>
    <w:rsid w:val="00163F54"/>
    <w:rsid w:val="00165609"/>
    <w:rsid w:val="001671E3"/>
    <w:rsid w:val="00172ADF"/>
    <w:rsid w:val="00172EE6"/>
    <w:rsid w:val="00173301"/>
    <w:rsid w:val="0017357B"/>
    <w:rsid w:val="00174BB8"/>
    <w:rsid w:val="0017529D"/>
    <w:rsid w:val="0017631E"/>
    <w:rsid w:val="0017726B"/>
    <w:rsid w:val="0017741E"/>
    <w:rsid w:val="00177493"/>
    <w:rsid w:val="001810F1"/>
    <w:rsid w:val="0018169F"/>
    <w:rsid w:val="00182E4E"/>
    <w:rsid w:val="00183EFB"/>
    <w:rsid w:val="0018593D"/>
    <w:rsid w:val="00185B07"/>
    <w:rsid w:val="00186855"/>
    <w:rsid w:val="001902B9"/>
    <w:rsid w:val="001904E4"/>
    <w:rsid w:val="00191224"/>
    <w:rsid w:val="0019189D"/>
    <w:rsid w:val="0019402E"/>
    <w:rsid w:val="00195374"/>
    <w:rsid w:val="00196098"/>
    <w:rsid w:val="001968A2"/>
    <w:rsid w:val="00197278"/>
    <w:rsid w:val="00197A87"/>
    <w:rsid w:val="001A0DEE"/>
    <w:rsid w:val="001A1DF3"/>
    <w:rsid w:val="001A322C"/>
    <w:rsid w:val="001A3652"/>
    <w:rsid w:val="001A4F10"/>
    <w:rsid w:val="001A5141"/>
    <w:rsid w:val="001A5585"/>
    <w:rsid w:val="001A680C"/>
    <w:rsid w:val="001B1131"/>
    <w:rsid w:val="001B1F8F"/>
    <w:rsid w:val="001B25B9"/>
    <w:rsid w:val="001B3D79"/>
    <w:rsid w:val="001B4751"/>
    <w:rsid w:val="001B4B80"/>
    <w:rsid w:val="001B4F70"/>
    <w:rsid w:val="001B71BD"/>
    <w:rsid w:val="001C1F3B"/>
    <w:rsid w:val="001C42CE"/>
    <w:rsid w:val="001C42D7"/>
    <w:rsid w:val="001C44A0"/>
    <w:rsid w:val="001C6443"/>
    <w:rsid w:val="001C721C"/>
    <w:rsid w:val="001C79F3"/>
    <w:rsid w:val="001D092B"/>
    <w:rsid w:val="001D3E54"/>
    <w:rsid w:val="001D435D"/>
    <w:rsid w:val="001D7142"/>
    <w:rsid w:val="001E55EC"/>
    <w:rsid w:val="001F2FAE"/>
    <w:rsid w:val="001F3610"/>
    <w:rsid w:val="001F7F09"/>
    <w:rsid w:val="00200113"/>
    <w:rsid w:val="0020162A"/>
    <w:rsid w:val="00203225"/>
    <w:rsid w:val="002032A7"/>
    <w:rsid w:val="00205771"/>
    <w:rsid w:val="00205C08"/>
    <w:rsid w:val="00205FB0"/>
    <w:rsid w:val="00212764"/>
    <w:rsid w:val="00213E30"/>
    <w:rsid w:val="002152D6"/>
    <w:rsid w:val="00217888"/>
    <w:rsid w:val="002179AA"/>
    <w:rsid w:val="00220C79"/>
    <w:rsid w:val="00223EDA"/>
    <w:rsid w:val="0022430E"/>
    <w:rsid w:val="00225C89"/>
    <w:rsid w:val="00225CE0"/>
    <w:rsid w:val="00225D35"/>
    <w:rsid w:val="00227EEF"/>
    <w:rsid w:val="0023219B"/>
    <w:rsid w:val="002358C5"/>
    <w:rsid w:val="002407C5"/>
    <w:rsid w:val="00240CFC"/>
    <w:rsid w:val="00245458"/>
    <w:rsid w:val="002462D6"/>
    <w:rsid w:val="00251B2E"/>
    <w:rsid w:val="00253EEF"/>
    <w:rsid w:val="00254252"/>
    <w:rsid w:val="00255521"/>
    <w:rsid w:val="00255556"/>
    <w:rsid w:val="00255D9B"/>
    <w:rsid w:val="0025650E"/>
    <w:rsid w:val="00257A91"/>
    <w:rsid w:val="00260FB9"/>
    <w:rsid w:val="00262762"/>
    <w:rsid w:val="00262821"/>
    <w:rsid w:val="00263372"/>
    <w:rsid w:val="002652C6"/>
    <w:rsid w:val="0026730A"/>
    <w:rsid w:val="00270113"/>
    <w:rsid w:val="00270582"/>
    <w:rsid w:val="00271095"/>
    <w:rsid w:val="00273C42"/>
    <w:rsid w:val="00276ED1"/>
    <w:rsid w:val="00277136"/>
    <w:rsid w:val="00280278"/>
    <w:rsid w:val="002814E3"/>
    <w:rsid w:val="0028162B"/>
    <w:rsid w:val="00285043"/>
    <w:rsid w:val="00287E5C"/>
    <w:rsid w:val="0029330B"/>
    <w:rsid w:val="002939B2"/>
    <w:rsid w:val="0029407C"/>
    <w:rsid w:val="0029514D"/>
    <w:rsid w:val="0029569C"/>
    <w:rsid w:val="002956A3"/>
    <w:rsid w:val="0029686B"/>
    <w:rsid w:val="00296DE7"/>
    <w:rsid w:val="002A09B4"/>
    <w:rsid w:val="002A10F3"/>
    <w:rsid w:val="002A16EB"/>
    <w:rsid w:val="002A17D4"/>
    <w:rsid w:val="002A1B1D"/>
    <w:rsid w:val="002A27A8"/>
    <w:rsid w:val="002A2F46"/>
    <w:rsid w:val="002A4146"/>
    <w:rsid w:val="002A4555"/>
    <w:rsid w:val="002A4570"/>
    <w:rsid w:val="002A67AB"/>
    <w:rsid w:val="002A77AE"/>
    <w:rsid w:val="002A78A0"/>
    <w:rsid w:val="002B1A0D"/>
    <w:rsid w:val="002B1E4F"/>
    <w:rsid w:val="002B226C"/>
    <w:rsid w:val="002B4F1E"/>
    <w:rsid w:val="002B5EDD"/>
    <w:rsid w:val="002B7BD5"/>
    <w:rsid w:val="002B7E45"/>
    <w:rsid w:val="002C361E"/>
    <w:rsid w:val="002C4C38"/>
    <w:rsid w:val="002C5A92"/>
    <w:rsid w:val="002C5F28"/>
    <w:rsid w:val="002C602C"/>
    <w:rsid w:val="002C61A0"/>
    <w:rsid w:val="002D0136"/>
    <w:rsid w:val="002D06DD"/>
    <w:rsid w:val="002D1897"/>
    <w:rsid w:val="002D1BC9"/>
    <w:rsid w:val="002D2F4E"/>
    <w:rsid w:val="002D393F"/>
    <w:rsid w:val="002D3DD8"/>
    <w:rsid w:val="002E00E9"/>
    <w:rsid w:val="002E17DE"/>
    <w:rsid w:val="002E20F9"/>
    <w:rsid w:val="002E34CF"/>
    <w:rsid w:val="002E3EDC"/>
    <w:rsid w:val="002E5161"/>
    <w:rsid w:val="002E5439"/>
    <w:rsid w:val="002E5813"/>
    <w:rsid w:val="002E61D8"/>
    <w:rsid w:val="002F051C"/>
    <w:rsid w:val="002F2EAC"/>
    <w:rsid w:val="002F3F63"/>
    <w:rsid w:val="002F548E"/>
    <w:rsid w:val="002F60D3"/>
    <w:rsid w:val="002F62C4"/>
    <w:rsid w:val="002F669C"/>
    <w:rsid w:val="002F698E"/>
    <w:rsid w:val="0030036F"/>
    <w:rsid w:val="003004A0"/>
    <w:rsid w:val="00300626"/>
    <w:rsid w:val="00300E5A"/>
    <w:rsid w:val="0030114F"/>
    <w:rsid w:val="00301E65"/>
    <w:rsid w:val="00302F3F"/>
    <w:rsid w:val="0030505B"/>
    <w:rsid w:val="003054BA"/>
    <w:rsid w:val="00312B5A"/>
    <w:rsid w:val="00312EB9"/>
    <w:rsid w:val="003131E8"/>
    <w:rsid w:val="003143E9"/>
    <w:rsid w:val="00321274"/>
    <w:rsid w:val="00322A32"/>
    <w:rsid w:val="00322BB8"/>
    <w:rsid w:val="00322CD8"/>
    <w:rsid w:val="00323FD6"/>
    <w:rsid w:val="0033055E"/>
    <w:rsid w:val="003307F7"/>
    <w:rsid w:val="00330D14"/>
    <w:rsid w:val="003314FF"/>
    <w:rsid w:val="00335E02"/>
    <w:rsid w:val="0033782E"/>
    <w:rsid w:val="003411BA"/>
    <w:rsid w:val="00341BB7"/>
    <w:rsid w:val="00343F31"/>
    <w:rsid w:val="00346D90"/>
    <w:rsid w:val="00351175"/>
    <w:rsid w:val="003516B7"/>
    <w:rsid w:val="00353519"/>
    <w:rsid w:val="00353F12"/>
    <w:rsid w:val="00355FEF"/>
    <w:rsid w:val="00356055"/>
    <w:rsid w:val="0036219F"/>
    <w:rsid w:val="003644F2"/>
    <w:rsid w:val="003659AA"/>
    <w:rsid w:val="00370AD0"/>
    <w:rsid w:val="00370E26"/>
    <w:rsid w:val="0037231E"/>
    <w:rsid w:val="003728D3"/>
    <w:rsid w:val="003728EF"/>
    <w:rsid w:val="00376DE9"/>
    <w:rsid w:val="0037784E"/>
    <w:rsid w:val="00384787"/>
    <w:rsid w:val="003915D2"/>
    <w:rsid w:val="0039363A"/>
    <w:rsid w:val="00395BF6"/>
    <w:rsid w:val="00396D64"/>
    <w:rsid w:val="0039726C"/>
    <w:rsid w:val="003A0E83"/>
    <w:rsid w:val="003A3175"/>
    <w:rsid w:val="003A3643"/>
    <w:rsid w:val="003A37C3"/>
    <w:rsid w:val="003A4269"/>
    <w:rsid w:val="003A5785"/>
    <w:rsid w:val="003A6E97"/>
    <w:rsid w:val="003A7D0E"/>
    <w:rsid w:val="003B0FC6"/>
    <w:rsid w:val="003B17EF"/>
    <w:rsid w:val="003B1BE7"/>
    <w:rsid w:val="003B4BCB"/>
    <w:rsid w:val="003B5F3C"/>
    <w:rsid w:val="003C28A9"/>
    <w:rsid w:val="003C3155"/>
    <w:rsid w:val="003C3170"/>
    <w:rsid w:val="003C70DD"/>
    <w:rsid w:val="003C71D2"/>
    <w:rsid w:val="003C7C25"/>
    <w:rsid w:val="003D1471"/>
    <w:rsid w:val="003D16EE"/>
    <w:rsid w:val="003D356C"/>
    <w:rsid w:val="003D5B3A"/>
    <w:rsid w:val="003D5D30"/>
    <w:rsid w:val="003E0614"/>
    <w:rsid w:val="003E09F6"/>
    <w:rsid w:val="003E22B9"/>
    <w:rsid w:val="003E2B41"/>
    <w:rsid w:val="003E2DBC"/>
    <w:rsid w:val="003E557F"/>
    <w:rsid w:val="003E59D7"/>
    <w:rsid w:val="003E63D4"/>
    <w:rsid w:val="003F05B8"/>
    <w:rsid w:val="003F15FA"/>
    <w:rsid w:val="003F3032"/>
    <w:rsid w:val="003F3695"/>
    <w:rsid w:val="003F44BE"/>
    <w:rsid w:val="003F4E8C"/>
    <w:rsid w:val="004007F7"/>
    <w:rsid w:val="004010B5"/>
    <w:rsid w:val="00401DA4"/>
    <w:rsid w:val="0040473A"/>
    <w:rsid w:val="00407FF1"/>
    <w:rsid w:val="004114D7"/>
    <w:rsid w:val="004124DC"/>
    <w:rsid w:val="00414A7A"/>
    <w:rsid w:val="00417FFC"/>
    <w:rsid w:val="00420553"/>
    <w:rsid w:val="00420E3D"/>
    <w:rsid w:val="00422081"/>
    <w:rsid w:val="00425365"/>
    <w:rsid w:val="00425D3C"/>
    <w:rsid w:val="004277F9"/>
    <w:rsid w:val="00427A5C"/>
    <w:rsid w:val="00430F93"/>
    <w:rsid w:val="004328A9"/>
    <w:rsid w:val="004330D9"/>
    <w:rsid w:val="004341C0"/>
    <w:rsid w:val="00435D51"/>
    <w:rsid w:val="00436F0A"/>
    <w:rsid w:val="00437DA7"/>
    <w:rsid w:val="00440028"/>
    <w:rsid w:val="00440362"/>
    <w:rsid w:val="00440CE2"/>
    <w:rsid w:val="00442194"/>
    <w:rsid w:val="004427EC"/>
    <w:rsid w:val="00443A1E"/>
    <w:rsid w:val="00444457"/>
    <w:rsid w:val="00446CEC"/>
    <w:rsid w:val="00446FD6"/>
    <w:rsid w:val="00453188"/>
    <w:rsid w:val="00453501"/>
    <w:rsid w:val="004543FB"/>
    <w:rsid w:val="00454874"/>
    <w:rsid w:val="00454A83"/>
    <w:rsid w:val="00454AB5"/>
    <w:rsid w:val="00455102"/>
    <w:rsid w:val="00457050"/>
    <w:rsid w:val="0046224A"/>
    <w:rsid w:val="0046336D"/>
    <w:rsid w:val="0046608F"/>
    <w:rsid w:val="004665C1"/>
    <w:rsid w:val="004714B6"/>
    <w:rsid w:val="004720A1"/>
    <w:rsid w:val="00472A10"/>
    <w:rsid w:val="0047446F"/>
    <w:rsid w:val="00475FE4"/>
    <w:rsid w:val="00476938"/>
    <w:rsid w:val="00476DB1"/>
    <w:rsid w:val="0047710A"/>
    <w:rsid w:val="00477CD8"/>
    <w:rsid w:val="00477F7C"/>
    <w:rsid w:val="0048074D"/>
    <w:rsid w:val="00480A94"/>
    <w:rsid w:val="00480CE0"/>
    <w:rsid w:val="00481837"/>
    <w:rsid w:val="00481C89"/>
    <w:rsid w:val="00481E82"/>
    <w:rsid w:val="004858E2"/>
    <w:rsid w:val="004864E1"/>
    <w:rsid w:val="00487C7D"/>
    <w:rsid w:val="004903C8"/>
    <w:rsid w:val="00490E5E"/>
    <w:rsid w:val="00491491"/>
    <w:rsid w:val="004938EC"/>
    <w:rsid w:val="004939F6"/>
    <w:rsid w:val="00493CD8"/>
    <w:rsid w:val="00493E63"/>
    <w:rsid w:val="00493F12"/>
    <w:rsid w:val="00494B70"/>
    <w:rsid w:val="004A1065"/>
    <w:rsid w:val="004A6D28"/>
    <w:rsid w:val="004A7CB2"/>
    <w:rsid w:val="004B0AA6"/>
    <w:rsid w:val="004B1E52"/>
    <w:rsid w:val="004B2446"/>
    <w:rsid w:val="004B38C4"/>
    <w:rsid w:val="004B6F73"/>
    <w:rsid w:val="004B79A0"/>
    <w:rsid w:val="004C06BE"/>
    <w:rsid w:val="004C1ED0"/>
    <w:rsid w:val="004C35E7"/>
    <w:rsid w:val="004C5EA6"/>
    <w:rsid w:val="004D0C0C"/>
    <w:rsid w:val="004D1B81"/>
    <w:rsid w:val="004D3B47"/>
    <w:rsid w:val="004D5BD9"/>
    <w:rsid w:val="004E035D"/>
    <w:rsid w:val="004E056A"/>
    <w:rsid w:val="004E19C9"/>
    <w:rsid w:val="004E33C7"/>
    <w:rsid w:val="004E4E08"/>
    <w:rsid w:val="004E57EC"/>
    <w:rsid w:val="004E6245"/>
    <w:rsid w:val="004E6E78"/>
    <w:rsid w:val="004E7BED"/>
    <w:rsid w:val="004F1F33"/>
    <w:rsid w:val="004F3645"/>
    <w:rsid w:val="004F4035"/>
    <w:rsid w:val="004F5707"/>
    <w:rsid w:val="004F6D4A"/>
    <w:rsid w:val="004F7730"/>
    <w:rsid w:val="00500D0F"/>
    <w:rsid w:val="00501929"/>
    <w:rsid w:val="00502137"/>
    <w:rsid w:val="00502CD5"/>
    <w:rsid w:val="00502D1B"/>
    <w:rsid w:val="00504939"/>
    <w:rsid w:val="0050617E"/>
    <w:rsid w:val="00507806"/>
    <w:rsid w:val="0051021E"/>
    <w:rsid w:val="005122A4"/>
    <w:rsid w:val="005164D3"/>
    <w:rsid w:val="00516726"/>
    <w:rsid w:val="00516C5C"/>
    <w:rsid w:val="0051735A"/>
    <w:rsid w:val="00517A48"/>
    <w:rsid w:val="005206D7"/>
    <w:rsid w:val="00520E5D"/>
    <w:rsid w:val="00521258"/>
    <w:rsid w:val="005212E7"/>
    <w:rsid w:val="00521B61"/>
    <w:rsid w:val="00523704"/>
    <w:rsid w:val="00524822"/>
    <w:rsid w:val="00524E87"/>
    <w:rsid w:val="0053034E"/>
    <w:rsid w:val="00532F45"/>
    <w:rsid w:val="00533A8C"/>
    <w:rsid w:val="00534080"/>
    <w:rsid w:val="005347B3"/>
    <w:rsid w:val="005378F0"/>
    <w:rsid w:val="0054159C"/>
    <w:rsid w:val="0054371D"/>
    <w:rsid w:val="0054558A"/>
    <w:rsid w:val="005474A2"/>
    <w:rsid w:val="00547CF3"/>
    <w:rsid w:val="0055286A"/>
    <w:rsid w:val="00553ED1"/>
    <w:rsid w:val="00554643"/>
    <w:rsid w:val="00555D22"/>
    <w:rsid w:val="00556493"/>
    <w:rsid w:val="00557D12"/>
    <w:rsid w:val="005619F6"/>
    <w:rsid w:val="00565B66"/>
    <w:rsid w:val="00566125"/>
    <w:rsid w:val="00566C06"/>
    <w:rsid w:val="005670D7"/>
    <w:rsid w:val="00567AAA"/>
    <w:rsid w:val="00567AF3"/>
    <w:rsid w:val="00570A92"/>
    <w:rsid w:val="00572AA7"/>
    <w:rsid w:val="005736F0"/>
    <w:rsid w:val="00573B55"/>
    <w:rsid w:val="005767B5"/>
    <w:rsid w:val="00580E93"/>
    <w:rsid w:val="00583317"/>
    <w:rsid w:val="00583471"/>
    <w:rsid w:val="00583A5B"/>
    <w:rsid w:val="00584515"/>
    <w:rsid w:val="00584A4A"/>
    <w:rsid w:val="00584B4F"/>
    <w:rsid w:val="0058719A"/>
    <w:rsid w:val="00587860"/>
    <w:rsid w:val="00590C9F"/>
    <w:rsid w:val="00596764"/>
    <w:rsid w:val="00596875"/>
    <w:rsid w:val="00596AC5"/>
    <w:rsid w:val="00596D0B"/>
    <w:rsid w:val="0059710E"/>
    <w:rsid w:val="00597710"/>
    <w:rsid w:val="00597D06"/>
    <w:rsid w:val="00597DF2"/>
    <w:rsid w:val="005A0CB0"/>
    <w:rsid w:val="005A2D0C"/>
    <w:rsid w:val="005A2FA3"/>
    <w:rsid w:val="005A34F1"/>
    <w:rsid w:val="005A546B"/>
    <w:rsid w:val="005A6671"/>
    <w:rsid w:val="005A6B36"/>
    <w:rsid w:val="005B0306"/>
    <w:rsid w:val="005B1AB4"/>
    <w:rsid w:val="005B1C7C"/>
    <w:rsid w:val="005B1F0C"/>
    <w:rsid w:val="005B2ECB"/>
    <w:rsid w:val="005B4BC1"/>
    <w:rsid w:val="005B4DE5"/>
    <w:rsid w:val="005B4FCF"/>
    <w:rsid w:val="005B5CEB"/>
    <w:rsid w:val="005B7779"/>
    <w:rsid w:val="005B7880"/>
    <w:rsid w:val="005C0FA9"/>
    <w:rsid w:val="005C2F33"/>
    <w:rsid w:val="005C3A33"/>
    <w:rsid w:val="005C3A7D"/>
    <w:rsid w:val="005C5DD3"/>
    <w:rsid w:val="005D0DF5"/>
    <w:rsid w:val="005D0E1D"/>
    <w:rsid w:val="005D19BA"/>
    <w:rsid w:val="005D2E5B"/>
    <w:rsid w:val="005D38A3"/>
    <w:rsid w:val="005D3BDC"/>
    <w:rsid w:val="005D4444"/>
    <w:rsid w:val="005D47A9"/>
    <w:rsid w:val="005D4829"/>
    <w:rsid w:val="005D6566"/>
    <w:rsid w:val="005E0722"/>
    <w:rsid w:val="005E19CD"/>
    <w:rsid w:val="005E45CE"/>
    <w:rsid w:val="005E4D7C"/>
    <w:rsid w:val="005E5C41"/>
    <w:rsid w:val="005E644B"/>
    <w:rsid w:val="005E7A9F"/>
    <w:rsid w:val="005F2579"/>
    <w:rsid w:val="005F3A5A"/>
    <w:rsid w:val="005F3C43"/>
    <w:rsid w:val="005F54BE"/>
    <w:rsid w:val="005F6EEE"/>
    <w:rsid w:val="005F7DE6"/>
    <w:rsid w:val="00602D1F"/>
    <w:rsid w:val="00604242"/>
    <w:rsid w:val="00604C6F"/>
    <w:rsid w:val="00604EA9"/>
    <w:rsid w:val="00606D8D"/>
    <w:rsid w:val="0061601D"/>
    <w:rsid w:val="00616649"/>
    <w:rsid w:val="00622CA1"/>
    <w:rsid w:val="00624084"/>
    <w:rsid w:val="0062508A"/>
    <w:rsid w:val="00625780"/>
    <w:rsid w:val="0062615E"/>
    <w:rsid w:val="00633E52"/>
    <w:rsid w:val="00633F36"/>
    <w:rsid w:val="00635946"/>
    <w:rsid w:val="00637A19"/>
    <w:rsid w:val="00640CF4"/>
    <w:rsid w:val="00640F07"/>
    <w:rsid w:val="00641D4C"/>
    <w:rsid w:val="00643A5D"/>
    <w:rsid w:val="00644426"/>
    <w:rsid w:val="006476AF"/>
    <w:rsid w:val="00650A27"/>
    <w:rsid w:val="00650B1A"/>
    <w:rsid w:val="00651459"/>
    <w:rsid w:val="00651DCB"/>
    <w:rsid w:val="006569C9"/>
    <w:rsid w:val="00657575"/>
    <w:rsid w:val="0066020A"/>
    <w:rsid w:val="0066206C"/>
    <w:rsid w:val="006635C0"/>
    <w:rsid w:val="00663759"/>
    <w:rsid w:val="00663B4B"/>
    <w:rsid w:val="00664888"/>
    <w:rsid w:val="00664A9C"/>
    <w:rsid w:val="0066700E"/>
    <w:rsid w:val="00667ACD"/>
    <w:rsid w:val="00670AF0"/>
    <w:rsid w:val="006724B7"/>
    <w:rsid w:val="00673BB4"/>
    <w:rsid w:val="00674D02"/>
    <w:rsid w:val="00675243"/>
    <w:rsid w:val="006762B8"/>
    <w:rsid w:val="00677E9A"/>
    <w:rsid w:val="00680668"/>
    <w:rsid w:val="0068212D"/>
    <w:rsid w:val="006848EC"/>
    <w:rsid w:val="0068599B"/>
    <w:rsid w:val="0068614D"/>
    <w:rsid w:val="00691571"/>
    <w:rsid w:val="00692C7C"/>
    <w:rsid w:val="00692E48"/>
    <w:rsid w:val="00695331"/>
    <w:rsid w:val="00695EE0"/>
    <w:rsid w:val="0069702D"/>
    <w:rsid w:val="006A412B"/>
    <w:rsid w:val="006A6777"/>
    <w:rsid w:val="006A79E2"/>
    <w:rsid w:val="006B3B12"/>
    <w:rsid w:val="006B59F3"/>
    <w:rsid w:val="006B652E"/>
    <w:rsid w:val="006B66A8"/>
    <w:rsid w:val="006B6A43"/>
    <w:rsid w:val="006C05AD"/>
    <w:rsid w:val="006C170D"/>
    <w:rsid w:val="006C3994"/>
    <w:rsid w:val="006C39AB"/>
    <w:rsid w:val="006C4AE5"/>
    <w:rsid w:val="006C5F89"/>
    <w:rsid w:val="006C6880"/>
    <w:rsid w:val="006C6B78"/>
    <w:rsid w:val="006D0944"/>
    <w:rsid w:val="006D0B24"/>
    <w:rsid w:val="006D2852"/>
    <w:rsid w:val="006D3869"/>
    <w:rsid w:val="006D38C4"/>
    <w:rsid w:val="006D3F6F"/>
    <w:rsid w:val="006D498E"/>
    <w:rsid w:val="006D600E"/>
    <w:rsid w:val="006D72E1"/>
    <w:rsid w:val="006D7A12"/>
    <w:rsid w:val="006D7F88"/>
    <w:rsid w:val="006E2103"/>
    <w:rsid w:val="006E2125"/>
    <w:rsid w:val="006E2C27"/>
    <w:rsid w:val="006E2FCC"/>
    <w:rsid w:val="006E4181"/>
    <w:rsid w:val="006E4259"/>
    <w:rsid w:val="006E4B0F"/>
    <w:rsid w:val="006E4C2E"/>
    <w:rsid w:val="006F15BC"/>
    <w:rsid w:val="006F1662"/>
    <w:rsid w:val="006F48D9"/>
    <w:rsid w:val="006F5133"/>
    <w:rsid w:val="006F6311"/>
    <w:rsid w:val="006F767B"/>
    <w:rsid w:val="00700634"/>
    <w:rsid w:val="007009DC"/>
    <w:rsid w:val="007012A2"/>
    <w:rsid w:val="00704BBF"/>
    <w:rsid w:val="007056ED"/>
    <w:rsid w:val="00706B99"/>
    <w:rsid w:val="00706D3A"/>
    <w:rsid w:val="00713447"/>
    <w:rsid w:val="00713AD0"/>
    <w:rsid w:val="00713C56"/>
    <w:rsid w:val="0072268C"/>
    <w:rsid w:val="007227E2"/>
    <w:rsid w:val="00723CB3"/>
    <w:rsid w:val="007254B2"/>
    <w:rsid w:val="007267E3"/>
    <w:rsid w:val="00731ADD"/>
    <w:rsid w:val="00732A3E"/>
    <w:rsid w:val="00734E38"/>
    <w:rsid w:val="007363DC"/>
    <w:rsid w:val="00736BEE"/>
    <w:rsid w:val="00740CAA"/>
    <w:rsid w:val="0074315F"/>
    <w:rsid w:val="007438FD"/>
    <w:rsid w:val="0074400C"/>
    <w:rsid w:val="007447AE"/>
    <w:rsid w:val="00746209"/>
    <w:rsid w:val="00746E1D"/>
    <w:rsid w:val="007503B5"/>
    <w:rsid w:val="00752235"/>
    <w:rsid w:val="00754176"/>
    <w:rsid w:val="007547E2"/>
    <w:rsid w:val="007548BF"/>
    <w:rsid w:val="00756074"/>
    <w:rsid w:val="007569AC"/>
    <w:rsid w:val="00757D7E"/>
    <w:rsid w:val="007616D4"/>
    <w:rsid w:val="00765B88"/>
    <w:rsid w:val="00770F2D"/>
    <w:rsid w:val="007712BD"/>
    <w:rsid w:val="00772399"/>
    <w:rsid w:val="00773C73"/>
    <w:rsid w:val="00774D4F"/>
    <w:rsid w:val="007750C0"/>
    <w:rsid w:val="007845C4"/>
    <w:rsid w:val="00786479"/>
    <w:rsid w:val="007875E5"/>
    <w:rsid w:val="0078774F"/>
    <w:rsid w:val="00790A65"/>
    <w:rsid w:val="00792912"/>
    <w:rsid w:val="00796DBA"/>
    <w:rsid w:val="007A1113"/>
    <w:rsid w:val="007A1B4B"/>
    <w:rsid w:val="007A2187"/>
    <w:rsid w:val="007A3559"/>
    <w:rsid w:val="007A3BB9"/>
    <w:rsid w:val="007A5326"/>
    <w:rsid w:val="007A542D"/>
    <w:rsid w:val="007A570B"/>
    <w:rsid w:val="007A5D01"/>
    <w:rsid w:val="007B0767"/>
    <w:rsid w:val="007B1854"/>
    <w:rsid w:val="007B1AEB"/>
    <w:rsid w:val="007B3F63"/>
    <w:rsid w:val="007B4063"/>
    <w:rsid w:val="007B4DC1"/>
    <w:rsid w:val="007B755F"/>
    <w:rsid w:val="007C1578"/>
    <w:rsid w:val="007C15DA"/>
    <w:rsid w:val="007C1FE8"/>
    <w:rsid w:val="007C2011"/>
    <w:rsid w:val="007C239D"/>
    <w:rsid w:val="007C43C2"/>
    <w:rsid w:val="007C5875"/>
    <w:rsid w:val="007C7B9C"/>
    <w:rsid w:val="007D1F16"/>
    <w:rsid w:val="007D27B5"/>
    <w:rsid w:val="007D60F2"/>
    <w:rsid w:val="007E34C9"/>
    <w:rsid w:val="007E4B5C"/>
    <w:rsid w:val="007E4D7B"/>
    <w:rsid w:val="007E79BE"/>
    <w:rsid w:val="007F0430"/>
    <w:rsid w:val="007F2333"/>
    <w:rsid w:val="007F3E5B"/>
    <w:rsid w:val="007F4658"/>
    <w:rsid w:val="007F6435"/>
    <w:rsid w:val="008059F5"/>
    <w:rsid w:val="00806BCD"/>
    <w:rsid w:val="00807382"/>
    <w:rsid w:val="00812AA2"/>
    <w:rsid w:val="00813C3F"/>
    <w:rsid w:val="00815A77"/>
    <w:rsid w:val="00820596"/>
    <w:rsid w:val="00821BC6"/>
    <w:rsid w:val="0082240A"/>
    <w:rsid w:val="00823542"/>
    <w:rsid w:val="00823AFA"/>
    <w:rsid w:val="0082420A"/>
    <w:rsid w:val="00826B0A"/>
    <w:rsid w:val="00827129"/>
    <w:rsid w:val="00830AE3"/>
    <w:rsid w:val="0083294A"/>
    <w:rsid w:val="008329B6"/>
    <w:rsid w:val="00832B91"/>
    <w:rsid w:val="0083577B"/>
    <w:rsid w:val="00836E28"/>
    <w:rsid w:val="0083732A"/>
    <w:rsid w:val="00837785"/>
    <w:rsid w:val="00837D76"/>
    <w:rsid w:val="0084190E"/>
    <w:rsid w:val="00843C7E"/>
    <w:rsid w:val="008447FF"/>
    <w:rsid w:val="0084685B"/>
    <w:rsid w:val="008471B5"/>
    <w:rsid w:val="0085051A"/>
    <w:rsid w:val="0085142B"/>
    <w:rsid w:val="0085499F"/>
    <w:rsid w:val="00855D6E"/>
    <w:rsid w:val="008570FC"/>
    <w:rsid w:val="00857D28"/>
    <w:rsid w:val="00857FBC"/>
    <w:rsid w:val="008614FA"/>
    <w:rsid w:val="008628C4"/>
    <w:rsid w:val="00862926"/>
    <w:rsid w:val="00862A25"/>
    <w:rsid w:val="0086320E"/>
    <w:rsid w:val="00864C0C"/>
    <w:rsid w:val="008656A7"/>
    <w:rsid w:val="00865D42"/>
    <w:rsid w:val="00865EF2"/>
    <w:rsid w:val="008663E4"/>
    <w:rsid w:val="0086704E"/>
    <w:rsid w:val="00867175"/>
    <w:rsid w:val="00867A4A"/>
    <w:rsid w:val="00870601"/>
    <w:rsid w:val="00870885"/>
    <w:rsid w:val="008715BA"/>
    <w:rsid w:val="0087201B"/>
    <w:rsid w:val="008726FD"/>
    <w:rsid w:val="00872F77"/>
    <w:rsid w:val="00874150"/>
    <w:rsid w:val="0088085D"/>
    <w:rsid w:val="00880DD8"/>
    <w:rsid w:val="0088191F"/>
    <w:rsid w:val="00883121"/>
    <w:rsid w:val="0088336F"/>
    <w:rsid w:val="00883DC7"/>
    <w:rsid w:val="00884994"/>
    <w:rsid w:val="008901A2"/>
    <w:rsid w:val="00891219"/>
    <w:rsid w:val="0089339A"/>
    <w:rsid w:val="00896B18"/>
    <w:rsid w:val="00896C86"/>
    <w:rsid w:val="00897078"/>
    <w:rsid w:val="00897571"/>
    <w:rsid w:val="00897A7A"/>
    <w:rsid w:val="00897BF6"/>
    <w:rsid w:val="00897F9B"/>
    <w:rsid w:val="008A006A"/>
    <w:rsid w:val="008A1F14"/>
    <w:rsid w:val="008A2B38"/>
    <w:rsid w:val="008A5097"/>
    <w:rsid w:val="008A5419"/>
    <w:rsid w:val="008A5D8B"/>
    <w:rsid w:val="008A6AD2"/>
    <w:rsid w:val="008A716D"/>
    <w:rsid w:val="008A7628"/>
    <w:rsid w:val="008B0588"/>
    <w:rsid w:val="008B156D"/>
    <w:rsid w:val="008B2CCA"/>
    <w:rsid w:val="008B4A6C"/>
    <w:rsid w:val="008B53CD"/>
    <w:rsid w:val="008B6803"/>
    <w:rsid w:val="008B7668"/>
    <w:rsid w:val="008C075C"/>
    <w:rsid w:val="008C412C"/>
    <w:rsid w:val="008C4A0F"/>
    <w:rsid w:val="008C5A06"/>
    <w:rsid w:val="008C603A"/>
    <w:rsid w:val="008C7C8B"/>
    <w:rsid w:val="008D0480"/>
    <w:rsid w:val="008D1B1E"/>
    <w:rsid w:val="008D7C6C"/>
    <w:rsid w:val="008E000E"/>
    <w:rsid w:val="008E0BB2"/>
    <w:rsid w:val="008E7A60"/>
    <w:rsid w:val="008F260D"/>
    <w:rsid w:val="008F755C"/>
    <w:rsid w:val="008F7838"/>
    <w:rsid w:val="00900B0A"/>
    <w:rsid w:val="00902AC9"/>
    <w:rsid w:val="00911D56"/>
    <w:rsid w:val="00912FF9"/>
    <w:rsid w:val="00914B8C"/>
    <w:rsid w:val="00915563"/>
    <w:rsid w:val="00916A4A"/>
    <w:rsid w:val="0091703A"/>
    <w:rsid w:val="00917146"/>
    <w:rsid w:val="00920498"/>
    <w:rsid w:val="0092096A"/>
    <w:rsid w:val="00920E6A"/>
    <w:rsid w:val="00921033"/>
    <w:rsid w:val="00923D62"/>
    <w:rsid w:val="00925657"/>
    <w:rsid w:val="0093606F"/>
    <w:rsid w:val="009422F1"/>
    <w:rsid w:val="009445FE"/>
    <w:rsid w:val="00944E23"/>
    <w:rsid w:val="00944F21"/>
    <w:rsid w:val="00950BF1"/>
    <w:rsid w:val="00950E08"/>
    <w:rsid w:val="00951A21"/>
    <w:rsid w:val="009528B0"/>
    <w:rsid w:val="00955214"/>
    <w:rsid w:val="00955F61"/>
    <w:rsid w:val="0096020A"/>
    <w:rsid w:val="009606E4"/>
    <w:rsid w:val="00960D7D"/>
    <w:rsid w:val="009645D4"/>
    <w:rsid w:val="0096493B"/>
    <w:rsid w:val="009654F8"/>
    <w:rsid w:val="00965F45"/>
    <w:rsid w:val="00966971"/>
    <w:rsid w:val="009674B7"/>
    <w:rsid w:val="009726D0"/>
    <w:rsid w:val="009743FF"/>
    <w:rsid w:val="00975FA5"/>
    <w:rsid w:val="0098083B"/>
    <w:rsid w:val="00982315"/>
    <w:rsid w:val="009836B0"/>
    <w:rsid w:val="00984E97"/>
    <w:rsid w:val="00990997"/>
    <w:rsid w:val="00991354"/>
    <w:rsid w:val="00991ACE"/>
    <w:rsid w:val="00992815"/>
    <w:rsid w:val="0099319C"/>
    <w:rsid w:val="009941B6"/>
    <w:rsid w:val="0099454E"/>
    <w:rsid w:val="0099478B"/>
    <w:rsid w:val="00996009"/>
    <w:rsid w:val="0099679A"/>
    <w:rsid w:val="00997F50"/>
    <w:rsid w:val="009A123A"/>
    <w:rsid w:val="009A1B0F"/>
    <w:rsid w:val="009A1E5D"/>
    <w:rsid w:val="009A5DF2"/>
    <w:rsid w:val="009B02A0"/>
    <w:rsid w:val="009B0947"/>
    <w:rsid w:val="009B1398"/>
    <w:rsid w:val="009B2C16"/>
    <w:rsid w:val="009B58F4"/>
    <w:rsid w:val="009B750D"/>
    <w:rsid w:val="009C0027"/>
    <w:rsid w:val="009C08CA"/>
    <w:rsid w:val="009C21AA"/>
    <w:rsid w:val="009C2B06"/>
    <w:rsid w:val="009C314B"/>
    <w:rsid w:val="009C3A3D"/>
    <w:rsid w:val="009C4A2D"/>
    <w:rsid w:val="009C5F83"/>
    <w:rsid w:val="009C674E"/>
    <w:rsid w:val="009C7A39"/>
    <w:rsid w:val="009D08CC"/>
    <w:rsid w:val="009D290E"/>
    <w:rsid w:val="009D4078"/>
    <w:rsid w:val="009D462F"/>
    <w:rsid w:val="009D47BC"/>
    <w:rsid w:val="009D5F4A"/>
    <w:rsid w:val="009D5FC2"/>
    <w:rsid w:val="009D7B05"/>
    <w:rsid w:val="009E0368"/>
    <w:rsid w:val="009E1510"/>
    <w:rsid w:val="009E3769"/>
    <w:rsid w:val="009E6D89"/>
    <w:rsid w:val="009F0707"/>
    <w:rsid w:val="009F0C35"/>
    <w:rsid w:val="009F1956"/>
    <w:rsid w:val="009F3D11"/>
    <w:rsid w:val="009F3D1D"/>
    <w:rsid w:val="009F4381"/>
    <w:rsid w:val="009F43C0"/>
    <w:rsid w:val="009F56EC"/>
    <w:rsid w:val="009F5748"/>
    <w:rsid w:val="009F5922"/>
    <w:rsid w:val="009F722D"/>
    <w:rsid w:val="009F7533"/>
    <w:rsid w:val="00A00232"/>
    <w:rsid w:val="00A00B03"/>
    <w:rsid w:val="00A00D1C"/>
    <w:rsid w:val="00A0187E"/>
    <w:rsid w:val="00A0296B"/>
    <w:rsid w:val="00A04B97"/>
    <w:rsid w:val="00A0508E"/>
    <w:rsid w:val="00A1031D"/>
    <w:rsid w:val="00A11AD5"/>
    <w:rsid w:val="00A1227C"/>
    <w:rsid w:val="00A142A4"/>
    <w:rsid w:val="00A14ED9"/>
    <w:rsid w:val="00A16E52"/>
    <w:rsid w:val="00A21803"/>
    <w:rsid w:val="00A228E4"/>
    <w:rsid w:val="00A22939"/>
    <w:rsid w:val="00A2307C"/>
    <w:rsid w:val="00A246AE"/>
    <w:rsid w:val="00A24C90"/>
    <w:rsid w:val="00A25136"/>
    <w:rsid w:val="00A26B7E"/>
    <w:rsid w:val="00A2728E"/>
    <w:rsid w:val="00A27B71"/>
    <w:rsid w:val="00A27B75"/>
    <w:rsid w:val="00A326C3"/>
    <w:rsid w:val="00A33820"/>
    <w:rsid w:val="00A339FA"/>
    <w:rsid w:val="00A346E8"/>
    <w:rsid w:val="00A3481C"/>
    <w:rsid w:val="00A34FF9"/>
    <w:rsid w:val="00A360D1"/>
    <w:rsid w:val="00A3764F"/>
    <w:rsid w:val="00A377A2"/>
    <w:rsid w:val="00A406F9"/>
    <w:rsid w:val="00A50908"/>
    <w:rsid w:val="00A53950"/>
    <w:rsid w:val="00A5422A"/>
    <w:rsid w:val="00A54BD7"/>
    <w:rsid w:val="00A5587F"/>
    <w:rsid w:val="00A558EF"/>
    <w:rsid w:val="00A55BA8"/>
    <w:rsid w:val="00A57002"/>
    <w:rsid w:val="00A62C1A"/>
    <w:rsid w:val="00A6336C"/>
    <w:rsid w:val="00A65074"/>
    <w:rsid w:val="00A650B2"/>
    <w:rsid w:val="00A65874"/>
    <w:rsid w:val="00A66240"/>
    <w:rsid w:val="00A66D84"/>
    <w:rsid w:val="00A7021E"/>
    <w:rsid w:val="00A72335"/>
    <w:rsid w:val="00A7279B"/>
    <w:rsid w:val="00A73EA8"/>
    <w:rsid w:val="00A7418C"/>
    <w:rsid w:val="00A749BD"/>
    <w:rsid w:val="00A759F3"/>
    <w:rsid w:val="00A75EF8"/>
    <w:rsid w:val="00A7714C"/>
    <w:rsid w:val="00A77B53"/>
    <w:rsid w:val="00A8224D"/>
    <w:rsid w:val="00A8525F"/>
    <w:rsid w:val="00A85861"/>
    <w:rsid w:val="00A85DA5"/>
    <w:rsid w:val="00A85FBC"/>
    <w:rsid w:val="00A915E9"/>
    <w:rsid w:val="00A92170"/>
    <w:rsid w:val="00A92D1A"/>
    <w:rsid w:val="00A938A0"/>
    <w:rsid w:val="00A93F77"/>
    <w:rsid w:val="00A94B08"/>
    <w:rsid w:val="00A94F53"/>
    <w:rsid w:val="00A9660F"/>
    <w:rsid w:val="00A96827"/>
    <w:rsid w:val="00A97056"/>
    <w:rsid w:val="00A97478"/>
    <w:rsid w:val="00A974BA"/>
    <w:rsid w:val="00A974D8"/>
    <w:rsid w:val="00A978D7"/>
    <w:rsid w:val="00A97C47"/>
    <w:rsid w:val="00AA09A5"/>
    <w:rsid w:val="00AA117E"/>
    <w:rsid w:val="00AA1EF5"/>
    <w:rsid w:val="00AA26CF"/>
    <w:rsid w:val="00AA2806"/>
    <w:rsid w:val="00AA353C"/>
    <w:rsid w:val="00AA3D8C"/>
    <w:rsid w:val="00AA4658"/>
    <w:rsid w:val="00AA4B1A"/>
    <w:rsid w:val="00AA4B89"/>
    <w:rsid w:val="00AA6DA5"/>
    <w:rsid w:val="00AA7408"/>
    <w:rsid w:val="00AA7F73"/>
    <w:rsid w:val="00AB008E"/>
    <w:rsid w:val="00AB204C"/>
    <w:rsid w:val="00AB2385"/>
    <w:rsid w:val="00AB62D2"/>
    <w:rsid w:val="00AB7299"/>
    <w:rsid w:val="00AB743E"/>
    <w:rsid w:val="00AB7D70"/>
    <w:rsid w:val="00AC0CB4"/>
    <w:rsid w:val="00AC1426"/>
    <w:rsid w:val="00AC170D"/>
    <w:rsid w:val="00AC1E7C"/>
    <w:rsid w:val="00AC302C"/>
    <w:rsid w:val="00AC3108"/>
    <w:rsid w:val="00AD023A"/>
    <w:rsid w:val="00AD0AFB"/>
    <w:rsid w:val="00AD0D22"/>
    <w:rsid w:val="00AD1420"/>
    <w:rsid w:val="00AD1858"/>
    <w:rsid w:val="00AD25C5"/>
    <w:rsid w:val="00AD4794"/>
    <w:rsid w:val="00AD54F0"/>
    <w:rsid w:val="00AD5ACB"/>
    <w:rsid w:val="00AE1E27"/>
    <w:rsid w:val="00AE6069"/>
    <w:rsid w:val="00AE7568"/>
    <w:rsid w:val="00AE7850"/>
    <w:rsid w:val="00AE7E5B"/>
    <w:rsid w:val="00AF130C"/>
    <w:rsid w:val="00AF176D"/>
    <w:rsid w:val="00AF1EBD"/>
    <w:rsid w:val="00AF24D2"/>
    <w:rsid w:val="00AF2B11"/>
    <w:rsid w:val="00AF2FD9"/>
    <w:rsid w:val="00AF7F3C"/>
    <w:rsid w:val="00B005B2"/>
    <w:rsid w:val="00B0417A"/>
    <w:rsid w:val="00B04887"/>
    <w:rsid w:val="00B04E37"/>
    <w:rsid w:val="00B05F89"/>
    <w:rsid w:val="00B07078"/>
    <w:rsid w:val="00B07745"/>
    <w:rsid w:val="00B07F72"/>
    <w:rsid w:val="00B12266"/>
    <w:rsid w:val="00B1402D"/>
    <w:rsid w:val="00B174A7"/>
    <w:rsid w:val="00B208E1"/>
    <w:rsid w:val="00B2143C"/>
    <w:rsid w:val="00B21838"/>
    <w:rsid w:val="00B22519"/>
    <w:rsid w:val="00B234FE"/>
    <w:rsid w:val="00B24BED"/>
    <w:rsid w:val="00B264D1"/>
    <w:rsid w:val="00B27115"/>
    <w:rsid w:val="00B27901"/>
    <w:rsid w:val="00B318CD"/>
    <w:rsid w:val="00B34620"/>
    <w:rsid w:val="00B35C05"/>
    <w:rsid w:val="00B405FE"/>
    <w:rsid w:val="00B40AFE"/>
    <w:rsid w:val="00B430B6"/>
    <w:rsid w:val="00B44FA1"/>
    <w:rsid w:val="00B45945"/>
    <w:rsid w:val="00B46007"/>
    <w:rsid w:val="00B46468"/>
    <w:rsid w:val="00B46924"/>
    <w:rsid w:val="00B46D96"/>
    <w:rsid w:val="00B47BA3"/>
    <w:rsid w:val="00B52B68"/>
    <w:rsid w:val="00B56BEB"/>
    <w:rsid w:val="00B56DF6"/>
    <w:rsid w:val="00B62143"/>
    <w:rsid w:val="00B62F7F"/>
    <w:rsid w:val="00B63039"/>
    <w:rsid w:val="00B63169"/>
    <w:rsid w:val="00B63C61"/>
    <w:rsid w:val="00B64642"/>
    <w:rsid w:val="00B656C5"/>
    <w:rsid w:val="00B6618B"/>
    <w:rsid w:val="00B669E5"/>
    <w:rsid w:val="00B70465"/>
    <w:rsid w:val="00B70E31"/>
    <w:rsid w:val="00B71561"/>
    <w:rsid w:val="00B71E32"/>
    <w:rsid w:val="00B74B21"/>
    <w:rsid w:val="00B74EC9"/>
    <w:rsid w:val="00B74FE8"/>
    <w:rsid w:val="00B75AE2"/>
    <w:rsid w:val="00B820D2"/>
    <w:rsid w:val="00B8359F"/>
    <w:rsid w:val="00B84186"/>
    <w:rsid w:val="00B872B5"/>
    <w:rsid w:val="00B87BB2"/>
    <w:rsid w:val="00B91712"/>
    <w:rsid w:val="00B91A1F"/>
    <w:rsid w:val="00B92E7D"/>
    <w:rsid w:val="00B932CB"/>
    <w:rsid w:val="00B944E0"/>
    <w:rsid w:val="00B9481B"/>
    <w:rsid w:val="00B94A73"/>
    <w:rsid w:val="00B94CC9"/>
    <w:rsid w:val="00B97D6B"/>
    <w:rsid w:val="00BA0895"/>
    <w:rsid w:val="00BA1D52"/>
    <w:rsid w:val="00BA3ABA"/>
    <w:rsid w:val="00BA4D1F"/>
    <w:rsid w:val="00BA54CB"/>
    <w:rsid w:val="00BA6CC5"/>
    <w:rsid w:val="00BB1BBA"/>
    <w:rsid w:val="00BB1D8F"/>
    <w:rsid w:val="00BB2EB4"/>
    <w:rsid w:val="00BB2F3A"/>
    <w:rsid w:val="00BB3930"/>
    <w:rsid w:val="00BB5226"/>
    <w:rsid w:val="00BB7F29"/>
    <w:rsid w:val="00BC11E0"/>
    <w:rsid w:val="00BC15A3"/>
    <w:rsid w:val="00BC4EA8"/>
    <w:rsid w:val="00BC5469"/>
    <w:rsid w:val="00BC70CC"/>
    <w:rsid w:val="00BC72E3"/>
    <w:rsid w:val="00BD0BCA"/>
    <w:rsid w:val="00BD3A42"/>
    <w:rsid w:val="00BD5183"/>
    <w:rsid w:val="00BD5C50"/>
    <w:rsid w:val="00BD75F6"/>
    <w:rsid w:val="00BD785A"/>
    <w:rsid w:val="00BE100D"/>
    <w:rsid w:val="00BE13FD"/>
    <w:rsid w:val="00BF2526"/>
    <w:rsid w:val="00BF3096"/>
    <w:rsid w:val="00BF33F5"/>
    <w:rsid w:val="00BF3B89"/>
    <w:rsid w:val="00BF531B"/>
    <w:rsid w:val="00BF678A"/>
    <w:rsid w:val="00C028BC"/>
    <w:rsid w:val="00C02BA6"/>
    <w:rsid w:val="00C03359"/>
    <w:rsid w:val="00C048C4"/>
    <w:rsid w:val="00C0670D"/>
    <w:rsid w:val="00C10F1E"/>
    <w:rsid w:val="00C12749"/>
    <w:rsid w:val="00C12B1A"/>
    <w:rsid w:val="00C142C2"/>
    <w:rsid w:val="00C155E6"/>
    <w:rsid w:val="00C219E2"/>
    <w:rsid w:val="00C223CE"/>
    <w:rsid w:val="00C23ED8"/>
    <w:rsid w:val="00C256C1"/>
    <w:rsid w:val="00C27CCE"/>
    <w:rsid w:val="00C31C31"/>
    <w:rsid w:val="00C326CD"/>
    <w:rsid w:val="00C32779"/>
    <w:rsid w:val="00C35162"/>
    <w:rsid w:val="00C360E5"/>
    <w:rsid w:val="00C411A4"/>
    <w:rsid w:val="00C41379"/>
    <w:rsid w:val="00C42C1C"/>
    <w:rsid w:val="00C4466D"/>
    <w:rsid w:val="00C45F73"/>
    <w:rsid w:val="00C466FA"/>
    <w:rsid w:val="00C472B3"/>
    <w:rsid w:val="00C50711"/>
    <w:rsid w:val="00C5094C"/>
    <w:rsid w:val="00C50B19"/>
    <w:rsid w:val="00C51AB1"/>
    <w:rsid w:val="00C51B61"/>
    <w:rsid w:val="00C536D3"/>
    <w:rsid w:val="00C54ED2"/>
    <w:rsid w:val="00C56E4E"/>
    <w:rsid w:val="00C60AC7"/>
    <w:rsid w:val="00C60E3D"/>
    <w:rsid w:val="00C62BCC"/>
    <w:rsid w:val="00C63014"/>
    <w:rsid w:val="00C663D3"/>
    <w:rsid w:val="00C7096D"/>
    <w:rsid w:val="00C729E3"/>
    <w:rsid w:val="00C72C3F"/>
    <w:rsid w:val="00C7407E"/>
    <w:rsid w:val="00C74656"/>
    <w:rsid w:val="00C74779"/>
    <w:rsid w:val="00C74D18"/>
    <w:rsid w:val="00C75782"/>
    <w:rsid w:val="00C77D59"/>
    <w:rsid w:val="00C81104"/>
    <w:rsid w:val="00C814DF"/>
    <w:rsid w:val="00C90140"/>
    <w:rsid w:val="00C9321E"/>
    <w:rsid w:val="00C94031"/>
    <w:rsid w:val="00C94CE6"/>
    <w:rsid w:val="00C95A10"/>
    <w:rsid w:val="00C963D7"/>
    <w:rsid w:val="00C965BC"/>
    <w:rsid w:val="00C974F2"/>
    <w:rsid w:val="00CA0E43"/>
    <w:rsid w:val="00CA1272"/>
    <w:rsid w:val="00CA3B67"/>
    <w:rsid w:val="00CA45CE"/>
    <w:rsid w:val="00CA4F79"/>
    <w:rsid w:val="00CA5174"/>
    <w:rsid w:val="00CA5C5E"/>
    <w:rsid w:val="00CA6727"/>
    <w:rsid w:val="00CA74AC"/>
    <w:rsid w:val="00CA7608"/>
    <w:rsid w:val="00CB1CED"/>
    <w:rsid w:val="00CB35E6"/>
    <w:rsid w:val="00CB68DA"/>
    <w:rsid w:val="00CB7155"/>
    <w:rsid w:val="00CC07B1"/>
    <w:rsid w:val="00CC1575"/>
    <w:rsid w:val="00CC3B25"/>
    <w:rsid w:val="00CC4BFA"/>
    <w:rsid w:val="00CC5327"/>
    <w:rsid w:val="00CD1240"/>
    <w:rsid w:val="00CD2325"/>
    <w:rsid w:val="00CD2899"/>
    <w:rsid w:val="00CD3078"/>
    <w:rsid w:val="00CD431F"/>
    <w:rsid w:val="00CD5D0D"/>
    <w:rsid w:val="00CD5F75"/>
    <w:rsid w:val="00CD605F"/>
    <w:rsid w:val="00CD72A1"/>
    <w:rsid w:val="00CD7EBB"/>
    <w:rsid w:val="00CE0C7A"/>
    <w:rsid w:val="00CE1877"/>
    <w:rsid w:val="00CE3169"/>
    <w:rsid w:val="00CE3850"/>
    <w:rsid w:val="00CE5E7E"/>
    <w:rsid w:val="00CE6624"/>
    <w:rsid w:val="00CE7AFC"/>
    <w:rsid w:val="00CE7FC4"/>
    <w:rsid w:val="00CF12E0"/>
    <w:rsid w:val="00CF24A2"/>
    <w:rsid w:val="00CF3763"/>
    <w:rsid w:val="00CF3E17"/>
    <w:rsid w:val="00CF40EC"/>
    <w:rsid w:val="00CF4360"/>
    <w:rsid w:val="00CF448F"/>
    <w:rsid w:val="00CF583A"/>
    <w:rsid w:val="00CF7DFB"/>
    <w:rsid w:val="00D007F9"/>
    <w:rsid w:val="00D010B2"/>
    <w:rsid w:val="00D01FCC"/>
    <w:rsid w:val="00D02598"/>
    <w:rsid w:val="00D034D2"/>
    <w:rsid w:val="00D05F43"/>
    <w:rsid w:val="00D0612D"/>
    <w:rsid w:val="00D07A59"/>
    <w:rsid w:val="00D10820"/>
    <w:rsid w:val="00D110A7"/>
    <w:rsid w:val="00D13568"/>
    <w:rsid w:val="00D1479E"/>
    <w:rsid w:val="00D15E45"/>
    <w:rsid w:val="00D16257"/>
    <w:rsid w:val="00D1717C"/>
    <w:rsid w:val="00D20949"/>
    <w:rsid w:val="00D20F19"/>
    <w:rsid w:val="00D217E1"/>
    <w:rsid w:val="00D22939"/>
    <w:rsid w:val="00D26D9C"/>
    <w:rsid w:val="00D306F2"/>
    <w:rsid w:val="00D312AD"/>
    <w:rsid w:val="00D3331E"/>
    <w:rsid w:val="00D33917"/>
    <w:rsid w:val="00D33A6E"/>
    <w:rsid w:val="00D33ED9"/>
    <w:rsid w:val="00D34EDB"/>
    <w:rsid w:val="00D357A0"/>
    <w:rsid w:val="00D363CA"/>
    <w:rsid w:val="00D36ACF"/>
    <w:rsid w:val="00D37568"/>
    <w:rsid w:val="00D377E2"/>
    <w:rsid w:val="00D40B47"/>
    <w:rsid w:val="00D40FD3"/>
    <w:rsid w:val="00D43EC1"/>
    <w:rsid w:val="00D45B8B"/>
    <w:rsid w:val="00D462A6"/>
    <w:rsid w:val="00D4744D"/>
    <w:rsid w:val="00D5052F"/>
    <w:rsid w:val="00D52012"/>
    <w:rsid w:val="00D523FB"/>
    <w:rsid w:val="00D5346A"/>
    <w:rsid w:val="00D5403E"/>
    <w:rsid w:val="00D54600"/>
    <w:rsid w:val="00D55EA3"/>
    <w:rsid w:val="00D579A4"/>
    <w:rsid w:val="00D60583"/>
    <w:rsid w:val="00D60871"/>
    <w:rsid w:val="00D6090E"/>
    <w:rsid w:val="00D60D31"/>
    <w:rsid w:val="00D61610"/>
    <w:rsid w:val="00D62D67"/>
    <w:rsid w:val="00D62DCC"/>
    <w:rsid w:val="00D64964"/>
    <w:rsid w:val="00D650C3"/>
    <w:rsid w:val="00D6611D"/>
    <w:rsid w:val="00D724CB"/>
    <w:rsid w:val="00D72B9A"/>
    <w:rsid w:val="00D72EE5"/>
    <w:rsid w:val="00D7372B"/>
    <w:rsid w:val="00D73ADB"/>
    <w:rsid w:val="00D73F0B"/>
    <w:rsid w:val="00D740EC"/>
    <w:rsid w:val="00D7414D"/>
    <w:rsid w:val="00D758F1"/>
    <w:rsid w:val="00D776F1"/>
    <w:rsid w:val="00D80FD3"/>
    <w:rsid w:val="00D8109D"/>
    <w:rsid w:val="00D81698"/>
    <w:rsid w:val="00D8297F"/>
    <w:rsid w:val="00D82AF7"/>
    <w:rsid w:val="00D8306F"/>
    <w:rsid w:val="00D831EB"/>
    <w:rsid w:val="00D845D7"/>
    <w:rsid w:val="00D847DF"/>
    <w:rsid w:val="00D860CB"/>
    <w:rsid w:val="00D877C3"/>
    <w:rsid w:val="00D878FC"/>
    <w:rsid w:val="00D9040E"/>
    <w:rsid w:val="00D90C58"/>
    <w:rsid w:val="00D90CA4"/>
    <w:rsid w:val="00D9273A"/>
    <w:rsid w:val="00D92A8A"/>
    <w:rsid w:val="00D9561A"/>
    <w:rsid w:val="00D96CDD"/>
    <w:rsid w:val="00DA1012"/>
    <w:rsid w:val="00DA280C"/>
    <w:rsid w:val="00DA2CC5"/>
    <w:rsid w:val="00DA396B"/>
    <w:rsid w:val="00DA3DDE"/>
    <w:rsid w:val="00DA50AA"/>
    <w:rsid w:val="00DA5593"/>
    <w:rsid w:val="00DA5733"/>
    <w:rsid w:val="00DA6A59"/>
    <w:rsid w:val="00DA6F50"/>
    <w:rsid w:val="00DA7F43"/>
    <w:rsid w:val="00DB4E46"/>
    <w:rsid w:val="00DC0530"/>
    <w:rsid w:val="00DC120D"/>
    <w:rsid w:val="00DC193C"/>
    <w:rsid w:val="00DC37B5"/>
    <w:rsid w:val="00DC3B4E"/>
    <w:rsid w:val="00DC44B0"/>
    <w:rsid w:val="00DC598E"/>
    <w:rsid w:val="00DC612C"/>
    <w:rsid w:val="00DC613B"/>
    <w:rsid w:val="00DD0AAF"/>
    <w:rsid w:val="00DD2E3C"/>
    <w:rsid w:val="00DD691B"/>
    <w:rsid w:val="00DD7989"/>
    <w:rsid w:val="00DE0D29"/>
    <w:rsid w:val="00DE133C"/>
    <w:rsid w:val="00DE463C"/>
    <w:rsid w:val="00DE654E"/>
    <w:rsid w:val="00DF0598"/>
    <w:rsid w:val="00DF0B2C"/>
    <w:rsid w:val="00DF1BBD"/>
    <w:rsid w:val="00DF2804"/>
    <w:rsid w:val="00DF31FA"/>
    <w:rsid w:val="00DF3D42"/>
    <w:rsid w:val="00DF4065"/>
    <w:rsid w:val="00DF478F"/>
    <w:rsid w:val="00DF479F"/>
    <w:rsid w:val="00DF552C"/>
    <w:rsid w:val="00DF56BD"/>
    <w:rsid w:val="00DF58AE"/>
    <w:rsid w:val="00DF5F51"/>
    <w:rsid w:val="00DF6AFB"/>
    <w:rsid w:val="00DF72B3"/>
    <w:rsid w:val="00DF7AE1"/>
    <w:rsid w:val="00E008FB"/>
    <w:rsid w:val="00E032F4"/>
    <w:rsid w:val="00E035F5"/>
    <w:rsid w:val="00E039DD"/>
    <w:rsid w:val="00E03D53"/>
    <w:rsid w:val="00E109A8"/>
    <w:rsid w:val="00E10F16"/>
    <w:rsid w:val="00E11FC5"/>
    <w:rsid w:val="00E12B2E"/>
    <w:rsid w:val="00E13697"/>
    <w:rsid w:val="00E1787D"/>
    <w:rsid w:val="00E217AF"/>
    <w:rsid w:val="00E2426B"/>
    <w:rsid w:val="00E2466C"/>
    <w:rsid w:val="00E263A3"/>
    <w:rsid w:val="00E273E3"/>
    <w:rsid w:val="00E3046C"/>
    <w:rsid w:val="00E30C9D"/>
    <w:rsid w:val="00E3138B"/>
    <w:rsid w:val="00E324A7"/>
    <w:rsid w:val="00E330B3"/>
    <w:rsid w:val="00E34088"/>
    <w:rsid w:val="00E36A6E"/>
    <w:rsid w:val="00E41551"/>
    <w:rsid w:val="00E41904"/>
    <w:rsid w:val="00E42792"/>
    <w:rsid w:val="00E43669"/>
    <w:rsid w:val="00E449A0"/>
    <w:rsid w:val="00E44F47"/>
    <w:rsid w:val="00E45166"/>
    <w:rsid w:val="00E46AD7"/>
    <w:rsid w:val="00E471F8"/>
    <w:rsid w:val="00E51CC2"/>
    <w:rsid w:val="00E53663"/>
    <w:rsid w:val="00E53B93"/>
    <w:rsid w:val="00E60F85"/>
    <w:rsid w:val="00E62BEF"/>
    <w:rsid w:val="00E64191"/>
    <w:rsid w:val="00E6695A"/>
    <w:rsid w:val="00E7081D"/>
    <w:rsid w:val="00E71BDD"/>
    <w:rsid w:val="00E72E6D"/>
    <w:rsid w:val="00E73C21"/>
    <w:rsid w:val="00E744A4"/>
    <w:rsid w:val="00E769CC"/>
    <w:rsid w:val="00E770C6"/>
    <w:rsid w:val="00E826DF"/>
    <w:rsid w:val="00E83AEF"/>
    <w:rsid w:val="00E83C3D"/>
    <w:rsid w:val="00E83CF7"/>
    <w:rsid w:val="00E84360"/>
    <w:rsid w:val="00E85A0C"/>
    <w:rsid w:val="00E876C6"/>
    <w:rsid w:val="00E878BA"/>
    <w:rsid w:val="00E92FAA"/>
    <w:rsid w:val="00E9369C"/>
    <w:rsid w:val="00E948FD"/>
    <w:rsid w:val="00E94E78"/>
    <w:rsid w:val="00E95142"/>
    <w:rsid w:val="00E95E05"/>
    <w:rsid w:val="00E961D2"/>
    <w:rsid w:val="00EA050F"/>
    <w:rsid w:val="00EA0892"/>
    <w:rsid w:val="00EA0C93"/>
    <w:rsid w:val="00EA416E"/>
    <w:rsid w:val="00EA4B67"/>
    <w:rsid w:val="00EA4CA4"/>
    <w:rsid w:val="00EA6891"/>
    <w:rsid w:val="00EB01DE"/>
    <w:rsid w:val="00EB09B8"/>
    <w:rsid w:val="00EB18F5"/>
    <w:rsid w:val="00EB6C5C"/>
    <w:rsid w:val="00EC741A"/>
    <w:rsid w:val="00ED1336"/>
    <w:rsid w:val="00ED20EC"/>
    <w:rsid w:val="00ED260F"/>
    <w:rsid w:val="00ED330B"/>
    <w:rsid w:val="00ED36D3"/>
    <w:rsid w:val="00ED3813"/>
    <w:rsid w:val="00ED451E"/>
    <w:rsid w:val="00ED5175"/>
    <w:rsid w:val="00ED5B5F"/>
    <w:rsid w:val="00ED7218"/>
    <w:rsid w:val="00EE0A29"/>
    <w:rsid w:val="00EE420F"/>
    <w:rsid w:val="00EE46DB"/>
    <w:rsid w:val="00EE47CE"/>
    <w:rsid w:val="00EE59C9"/>
    <w:rsid w:val="00EF0A68"/>
    <w:rsid w:val="00EF14C2"/>
    <w:rsid w:val="00EF37BB"/>
    <w:rsid w:val="00EF397D"/>
    <w:rsid w:val="00F00A6C"/>
    <w:rsid w:val="00F02B1F"/>
    <w:rsid w:val="00F065B9"/>
    <w:rsid w:val="00F07BE0"/>
    <w:rsid w:val="00F07E2D"/>
    <w:rsid w:val="00F11292"/>
    <w:rsid w:val="00F15A8C"/>
    <w:rsid w:val="00F16365"/>
    <w:rsid w:val="00F179EA"/>
    <w:rsid w:val="00F2042E"/>
    <w:rsid w:val="00F25275"/>
    <w:rsid w:val="00F26333"/>
    <w:rsid w:val="00F26459"/>
    <w:rsid w:val="00F267FC"/>
    <w:rsid w:val="00F269B9"/>
    <w:rsid w:val="00F2745B"/>
    <w:rsid w:val="00F27AD5"/>
    <w:rsid w:val="00F3010D"/>
    <w:rsid w:val="00F307D8"/>
    <w:rsid w:val="00F31F7D"/>
    <w:rsid w:val="00F327EF"/>
    <w:rsid w:val="00F32B3A"/>
    <w:rsid w:val="00F351BC"/>
    <w:rsid w:val="00F353DB"/>
    <w:rsid w:val="00F35B99"/>
    <w:rsid w:val="00F35CAE"/>
    <w:rsid w:val="00F375AB"/>
    <w:rsid w:val="00F37B99"/>
    <w:rsid w:val="00F4054E"/>
    <w:rsid w:val="00F41E03"/>
    <w:rsid w:val="00F439E0"/>
    <w:rsid w:val="00F43D0A"/>
    <w:rsid w:val="00F45961"/>
    <w:rsid w:val="00F45A64"/>
    <w:rsid w:val="00F45CFD"/>
    <w:rsid w:val="00F50051"/>
    <w:rsid w:val="00F51211"/>
    <w:rsid w:val="00F52EDB"/>
    <w:rsid w:val="00F539A4"/>
    <w:rsid w:val="00F53EDF"/>
    <w:rsid w:val="00F54543"/>
    <w:rsid w:val="00F54D76"/>
    <w:rsid w:val="00F55114"/>
    <w:rsid w:val="00F618B5"/>
    <w:rsid w:val="00F61D3B"/>
    <w:rsid w:val="00F62774"/>
    <w:rsid w:val="00F67EA4"/>
    <w:rsid w:val="00F714AF"/>
    <w:rsid w:val="00F71C33"/>
    <w:rsid w:val="00F726A9"/>
    <w:rsid w:val="00F73269"/>
    <w:rsid w:val="00F75C50"/>
    <w:rsid w:val="00F77D59"/>
    <w:rsid w:val="00F81296"/>
    <w:rsid w:val="00F813DB"/>
    <w:rsid w:val="00F82E43"/>
    <w:rsid w:val="00F833D7"/>
    <w:rsid w:val="00F855ED"/>
    <w:rsid w:val="00F8581E"/>
    <w:rsid w:val="00F85FAF"/>
    <w:rsid w:val="00F873F8"/>
    <w:rsid w:val="00F922E3"/>
    <w:rsid w:val="00F93688"/>
    <w:rsid w:val="00F94D2B"/>
    <w:rsid w:val="00F9541B"/>
    <w:rsid w:val="00F95C80"/>
    <w:rsid w:val="00F97B76"/>
    <w:rsid w:val="00FA09C5"/>
    <w:rsid w:val="00FA1C72"/>
    <w:rsid w:val="00FA32DD"/>
    <w:rsid w:val="00FB0F93"/>
    <w:rsid w:val="00FB2727"/>
    <w:rsid w:val="00FB3082"/>
    <w:rsid w:val="00FC0AA6"/>
    <w:rsid w:val="00FC0B8D"/>
    <w:rsid w:val="00FC0BFE"/>
    <w:rsid w:val="00FC1477"/>
    <w:rsid w:val="00FC48BA"/>
    <w:rsid w:val="00FC5660"/>
    <w:rsid w:val="00FC5D45"/>
    <w:rsid w:val="00FC5EF3"/>
    <w:rsid w:val="00FC6663"/>
    <w:rsid w:val="00FC704B"/>
    <w:rsid w:val="00FD09A0"/>
    <w:rsid w:val="00FD2265"/>
    <w:rsid w:val="00FD2973"/>
    <w:rsid w:val="00FD2BBA"/>
    <w:rsid w:val="00FD2F07"/>
    <w:rsid w:val="00FD3287"/>
    <w:rsid w:val="00FD35DD"/>
    <w:rsid w:val="00FD4640"/>
    <w:rsid w:val="00FD5B10"/>
    <w:rsid w:val="00FD6553"/>
    <w:rsid w:val="00FE0249"/>
    <w:rsid w:val="00FE0A59"/>
    <w:rsid w:val="00FE0AF0"/>
    <w:rsid w:val="00FF0E59"/>
    <w:rsid w:val="00FF158D"/>
    <w:rsid w:val="00FF1731"/>
    <w:rsid w:val="00FF6C33"/>
    <w:rsid w:val="00FF6DB2"/>
    <w:rsid w:val="00FF6DF6"/>
    <w:rsid w:val="03667C72"/>
    <w:rsid w:val="04E15802"/>
    <w:rsid w:val="0BE8391A"/>
    <w:rsid w:val="10233173"/>
    <w:rsid w:val="134B5F80"/>
    <w:rsid w:val="188348AD"/>
    <w:rsid w:val="1B9062C8"/>
    <w:rsid w:val="1C536A68"/>
    <w:rsid w:val="22F228FD"/>
    <w:rsid w:val="24082954"/>
    <w:rsid w:val="246D0CB6"/>
    <w:rsid w:val="25E6794B"/>
    <w:rsid w:val="2615032E"/>
    <w:rsid w:val="2BA57BA0"/>
    <w:rsid w:val="2C482FF1"/>
    <w:rsid w:val="2F2B74F6"/>
    <w:rsid w:val="36D531A3"/>
    <w:rsid w:val="3A9B19D4"/>
    <w:rsid w:val="43284021"/>
    <w:rsid w:val="443B46B3"/>
    <w:rsid w:val="46360645"/>
    <w:rsid w:val="4D25080F"/>
    <w:rsid w:val="4E5E4D9B"/>
    <w:rsid w:val="4FD31B00"/>
    <w:rsid w:val="542C1497"/>
    <w:rsid w:val="549D56F9"/>
    <w:rsid w:val="58494E89"/>
    <w:rsid w:val="58B253F5"/>
    <w:rsid w:val="59C4289D"/>
    <w:rsid w:val="5A4F5EDF"/>
    <w:rsid w:val="5BE014E5"/>
    <w:rsid w:val="5CAE7E92"/>
    <w:rsid w:val="5E4F2952"/>
    <w:rsid w:val="60A725D1"/>
    <w:rsid w:val="617A1A94"/>
    <w:rsid w:val="62F329B7"/>
    <w:rsid w:val="64DA20DE"/>
    <w:rsid w:val="67350F72"/>
    <w:rsid w:val="6AA162E3"/>
    <w:rsid w:val="6B366EA6"/>
    <w:rsid w:val="716D5171"/>
    <w:rsid w:val="71B614D8"/>
    <w:rsid w:val="764A3CD3"/>
    <w:rsid w:val="78676176"/>
    <w:rsid w:val="7A811C8D"/>
    <w:rsid w:val="7D1110A6"/>
    <w:rsid w:val="7E7C2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4E3FC3"/>
  <w15:docId w15:val="{10564FD1-0B96-48C5-8B68-72BE5BA3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7"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uiPriority="99" w:unhideWhenUsed="1" w:qFormat="1"/>
    <w:lsdException w:name="annotation text"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uiPriority="99"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7"/>
    <w:qFormat/>
    <w:pPr>
      <w:outlineLvl w:val="0"/>
    </w:pPr>
    <w:rPr>
      <w:rFonts w:ascii="Calibri" w:hAnsi="Calibri"/>
      <w:kern w:val="0"/>
      <w:sz w:val="28"/>
      <w:szCs w:val="28"/>
    </w:rPr>
  </w:style>
  <w:style w:type="paragraph" w:styleId="2">
    <w:name w:val="heading 2"/>
    <w:basedOn w:val="a"/>
    <w:next w:val="a"/>
    <w:link w:val="20"/>
    <w:uiPriority w:val="8"/>
    <w:qFormat/>
    <w:pPr>
      <w:outlineLvl w:val="1"/>
    </w:pPr>
    <w:rPr>
      <w:rFonts w:ascii="Calibri" w:hAnsi="Calibr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rPr>
      <w:rFonts w:ascii="Calibri" w:hAnsi="Calibri"/>
    </w:rPr>
  </w:style>
  <w:style w:type="paragraph" w:styleId="a5">
    <w:name w:val="Body Text Indent"/>
    <w:basedOn w:val="a"/>
    <w:qFormat/>
    <w:pPr>
      <w:spacing w:line="600" w:lineRule="atLeast"/>
      <w:ind w:left="882" w:hangingChars="315" w:hanging="882"/>
    </w:pPr>
    <w:rPr>
      <w:sz w:val="28"/>
    </w:rPr>
  </w:style>
  <w:style w:type="paragraph" w:styleId="a6">
    <w:name w:val="Plain Text"/>
    <w:basedOn w:val="a"/>
    <w:link w:val="a7"/>
    <w:unhideWhenUsed/>
    <w:qFormat/>
    <w:rPr>
      <w:rFonts w:ascii="宋体" w:hAnsi="Courier New"/>
      <w:szCs w:val="21"/>
    </w:r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rFonts w:ascii="Calibri" w:hAnsi="Calibri"/>
      <w:sz w:val="18"/>
      <w:szCs w:val="18"/>
    </w:rPr>
  </w:style>
  <w:style w:type="paragraph" w:styleId="TOC1">
    <w:name w:val="toc 1"/>
    <w:basedOn w:val="a"/>
    <w:next w:val="a"/>
    <w:semiHidden/>
    <w:unhideWhenUsed/>
    <w:qFormat/>
  </w:style>
  <w:style w:type="paragraph" w:styleId="ad">
    <w:name w:val="footnote text"/>
    <w:basedOn w:val="a"/>
    <w:link w:val="ae"/>
    <w:uiPriority w:val="99"/>
    <w:unhideWhenUsed/>
    <w:qFormat/>
    <w:pPr>
      <w:snapToGrid w:val="0"/>
      <w:jc w:val="left"/>
    </w:pPr>
    <w:rPr>
      <w:rFonts w:ascii="Calibri" w:hAnsi="Calibri"/>
      <w:sz w:val="18"/>
      <w:szCs w:val="18"/>
    </w:rPr>
  </w:style>
  <w:style w:type="paragraph" w:styleId="af">
    <w:name w:val="table of figures"/>
    <w:basedOn w:val="a"/>
    <w:next w:val="a"/>
    <w:qFormat/>
    <w:pPr>
      <w:jc w:val="left"/>
    </w:pPr>
    <w:rPr>
      <w:rFonts w:asciiTheme="minorHAnsi" w:eastAsiaTheme="minorEastAsia" w:hAnsiTheme="minorHAnsi" w:cstheme="minorBidi"/>
      <w:i/>
      <w:iCs/>
    </w:rPr>
  </w:style>
  <w:style w:type="paragraph" w:styleId="TOC2">
    <w:name w:val="toc 2"/>
    <w:basedOn w:val="a"/>
    <w:next w:val="a"/>
    <w:semiHidden/>
    <w:unhideWhenUsed/>
    <w:qFormat/>
    <w:pPr>
      <w:ind w:leftChars="200" w:left="420"/>
    </w:pPr>
  </w:style>
  <w:style w:type="paragraph" w:styleId="TOC9">
    <w:name w:val="toc 9"/>
    <w:basedOn w:val="a"/>
    <w:next w:val="a"/>
    <w:semiHidden/>
    <w:unhideWhenUsed/>
    <w:qFormat/>
    <w:pPr>
      <w:ind w:leftChars="1600" w:left="3360"/>
    </w:pPr>
  </w:style>
  <w:style w:type="paragraph" w:styleId="af0">
    <w:name w:val="Normal (Web)"/>
    <w:basedOn w:val="a"/>
    <w:qFormat/>
    <w:pPr>
      <w:widowControl/>
      <w:spacing w:before="100" w:beforeAutospacing="1" w:after="100" w:afterAutospacing="1"/>
      <w:jc w:val="left"/>
    </w:pPr>
    <w:rPr>
      <w:rFonts w:ascii="宋体" w:hAnsi="宋体" w:cs="宋体"/>
      <w:kern w:val="0"/>
      <w:sz w:val="24"/>
    </w:rPr>
  </w:style>
  <w:style w:type="paragraph" w:styleId="af1">
    <w:name w:val="annotation subject"/>
    <w:basedOn w:val="a3"/>
    <w:next w:val="a3"/>
    <w:link w:val="af2"/>
    <w:unhideWhenUsed/>
    <w:qFormat/>
    <w:rPr>
      <w:b/>
      <w:bCs/>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page number"/>
    <w:basedOn w:val="a0"/>
    <w:qFormat/>
  </w:style>
  <w:style w:type="character" w:styleId="af5">
    <w:name w:val="Hyperlink"/>
    <w:qFormat/>
    <w:rPr>
      <w:color w:val="2153B0"/>
      <w:u w:val="none"/>
    </w:rPr>
  </w:style>
  <w:style w:type="character" w:styleId="af6">
    <w:name w:val="annotation reference"/>
    <w:unhideWhenUsed/>
    <w:qFormat/>
    <w:rPr>
      <w:sz w:val="21"/>
      <w:szCs w:val="21"/>
    </w:rPr>
  </w:style>
  <w:style w:type="character" w:styleId="af7">
    <w:name w:val="footnote reference"/>
    <w:uiPriority w:val="99"/>
    <w:unhideWhenUsed/>
    <w:qFormat/>
    <w:rPr>
      <w:vertAlign w:val="superscript"/>
    </w:rPr>
  </w:style>
  <w:style w:type="character" w:customStyle="1" w:styleId="aa">
    <w:name w:val="页脚 字符"/>
    <w:link w:val="a9"/>
    <w:uiPriority w:val="99"/>
    <w:qFormat/>
    <w:rPr>
      <w:kern w:val="2"/>
      <w:sz w:val="18"/>
      <w:szCs w:val="18"/>
    </w:rPr>
  </w:style>
  <w:style w:type="character" w:customStyle="1" w:styleId="ae">
    <w:name w:val="脚注文本 字符"/>
    <w:link w:val="ad"/>
    <w:uiPriority w:val="99"/>
    <w:qFormat/>
    <w:rPr>
      <w:kern w:val="2"/>
      <w:sz w:val="18"/>
      <w:szCs w:val="18"/>
    </w:rPr>
  </w:style>
  <w:style w:type="character" w:customStyle="1" w:styleId="a4">
    <w:name w:val="批注文字 字符"/>
    <w:link w:val="a3"/>
    <w:semiHidden/>
    <w:qFormat/>
    <w:rPr>
      <w:kern w:val="2"/>
      <w:sz w:val="21"/>
      <w:szCs w:val="24"/>
    </w:rPr>
  </w:style>
  <w:style w:type="character" w:customStyle="1" w:styleId="a7">
    <w:name w:val="纯文本 字符"/>
    <w:link w:val="a6"/>
    <w:semiHidden/>
    <w:qFormat/>
    <w:rPr>
      <w:rFonts w:ascii="宋体" w:hAnsi="Courier New" w:cs="Courier New"/>
      <w:kern w:val="2"/>
      <w:sz w:val="21"/>
      <w:szCs w:val="21"/>
    </w:rPr>
  </w:style>
  <w:style w:type="character" w:customStyle="1" w:styleId="ac">
    <w:name w:val="页眉 字符"/>
    <w:link w:val="ab"/>
    <w:qFormat/>
    <w:rPr>
      <w:kern w:val="2"/>
      <w:sz w:val="18"/>
      <w:szCs w:val="18"/>
    </w:rPr>
  </w:style>
  <w:style w:type="character" w:customStyle="1" w:styleId="af2">
    <w:name w:val="批注主题 字符"/>
    <w:link w:val="af1"/>
    <w:semiHidden/>
    <w:qFormat/>
    <w:rPr>
      <w:b/>
      <w:bCs/>
      <w:kern w:val="2"/>
      <w:sz w:val="21"/>
      <w:szCs w:val="24"/>
    </w:rPr>
  </w:style>
  <w:style w:type="paragraph" w:customStyle="1" w:styleId="af8">
    <w:name w:val="公文正文"/>
    <w:basedOn w:val="a"/>
    <w:qFormat/>
    <w:pPr>
      <w:ind w:firstLineChars="200" w:firstLine="200"/>
      <w:jc w:val="left"/>
    </w:pPr>
    <w:rPr>
      <w:rFonts w:eastAsia="仿宋_GB2312"/>
      <w:sz w:val="30"/>
    </w:rPr>
  </w:style>
  <w:style w:type="paragraph" w:customStyle="1" w:styleId="af9">
    <w:name w:val="期数"/>
    <w:basedOn w:val="a"/>
    <w:qFormat/>
    <w:pPr>
      <w:spacing w:line="560" w:lineRule="exact"/>
      <w:jc w:val="center"/>
    </w:pPr>
    <w:rPr>
      <w:rFonts w:eastAsia="仿宋_GB2312"/>
      <w:sz w:val="30"/>
      <w:szCs w:val="30"/>
    </w:rPr>
  </w:style>
  <w:style w:type="paragraph" w:styleId="afa">
    <w:name w:val="List Paragraph"/>
    <w:basedOn w:val="a"/>
    <w:uiPriority w:val="26"/>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afb">
    <w:name w:val="版头"/>
    <w:basedOn w:val="a"/>
    <w:qFormat/>
    <w:pPr>
      <w:pBdr>
        <w:bottom w:val="single" w:sz="24" w:space="1" w:color="FF0000"/>
      </w:pBdr>
      <w:spacing w:line="560" w:lineRule="exact"/>
    </w:pPr>
    <w:rPr>
      <w:rFonts w:eastAsia="仿宋_GB2312"/>
      <w:sz w:val="30"/>
      <w:szCs w:val="30"/>
    </w:rPr>
  </w:style>
  <w:style w:type="paragraph" w:customStyle="1" w:styleId="afc">
    <w:name w:val="文种标题"/>
    <w:basedOn w:val="a6"/>
    <w:qFormat/>
  </w:style>
  <w:style w:type="table" w:customStyle="1" w:styleId="1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网格型2"/>
    <w:basedOn w:val="a1"/>
    <w:uiPriority w:val="38"/>
    <w:qFormat/>
    <w:pPr>
      <w:jc w:val="both"/>
    </w:pPr>
    <w:rPr>
      <w:rFonts w:ascii="Times New Roman" w:hAnsi="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uiPriority w:val="5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网格型4"/>
    <w:basedOn w:val="a1"/>
    <w:uiPriority w:val="5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网格型5"/>
    <w:basedOn w:val="a1"/>
    <w:uiPriority w:val="5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脚注文本1"/>
    <w:basedOn w:val="a"/>
    <w:next w:val="ad"/>
    <w:uiPriority w:val="99"/>
    <w:semiHidden/>
    <w:unhideWhenUsed/>
    <w:qFormat/>
    <w:pPr>
      <w:snapToGrid w:val="0"/>
      <w:jc w:val="left"/>
    </w:pPr>
    <w:rPr>
      <w:rFonts w:asciiTheme="minorHAnsi" w:eastAsiaTheme="minorEastAsia" w:hAnsiTheme="minorHAnsi" w:cstheme="minorBidi"/>
      <w:sz w:val="18"/>
      <w:szCs w:val="18"/>
    </w:rPr>
  </w:style>
  <w:style w:type="character" w:customStyle="1" w:styleId="10">
    <w:name w:val="标题 1 字符"/>
    <w:basedOn w:val="a0"/>
    <w:link w:val="1"/>
    <w:uiPriority w:val="7"/>
    <w:qFormat/>
    <w:rPr>
      <w:sz w:val="28"/>
      <w:szCs w:val="28"/>
    </w:rPr>
  </w:style>
  <w:style w:type="character" w:customStyle="1" w:styleId="20">
    <w:name w:val="标题 2 字符"/>
    <w:basedOn w:val="a0"/>
    <w:link w:val="2"/>
    <w:uiPriority w:val="8"/>
    <w:qFormat/>
    <w:rPr>
      <w:sz w:val="21"/>
      <w:szCs w:val="21"/>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D12C5-FECC-48AA-951E-E357A5DF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502</Words>
  <Characters>2866</Characters>
  <Application>Microsoft Office Word</Application>
  <DocSecurity>0</DocSecurity>
  <Lines>23</Lines>
  <Paragraphs>6</Paragraphs>
  <ScaleCrop>false</ScaleCrop>
  <Company>Lenovo</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lx026</dc:creator>
  <cp:lastModifiedBy>fu fu</cp:lastModifiedBy>
  <cp:revision>2</cp:revision>
  <cp:lastPrinted>2023-07-17T09:52:00Z</cp:lastPrinted>
  <dcterms:created xsi:type="dcterms:W3CDTF">2025-08-22T06:56:00Z</dcterms:created>
  <dcterms:modified xsi:type="dcterms:W3CDTF">2025-08-22T06:56:00Z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0F5BA0547FAD4783B67BCA73D7F31B2C_12</vt:lpwstr>
  </property>
</Properties>
</file>